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5EE0A7D">
      <w:pPr>
        <w:tabs>
          <w:tab w:val="left" w:pos="0"/>
          <w:tab w:val="left" w:pos="3819"/>
          <w:tab w:val="left" w:pos="4099"/>
        </w:tabs>
        <w:adjustRightInd w:val="0"/>
        <w:snapToGrid w:val="0"/>
        <w:spacing w:line="580" w:lineRule="exact"/>
        <w:ind w:firstLine="2242" w:firstLineChars="700"/>
        <w:jc w:val="both"/>
        <w:rPr>
          <w:rFonts w:hint="eastAsia" w:ascii="黑体" w:hAnsi="黑体" w:eastAsia="黑体" w:cs="黑体"/>
          <w:b/>
          <w:bCs/>
          <w:strike w:val="0"/>
          <w:dstrike w:val="0"/>
          <w:color w:val="000000"/>
          <w:kern w:val="0"/>
          <w:sz w:val="32"/>
          <w:szCs w:val="32"/>
          <w:u w:val="none"/>
        </w:rPr>
      </w:pPr>
      <w:r>
        <w:rPr>
          <w:rFonts w:hint="eastAsia" w:ascii="黑体" w:hAnsi="黑体" w:eastAsia="黑体" w:cs="黑体"/>
          <w:b/>
          <w:bCs/>
          <w:strike w:val="0"/>
          <w:dstrike w:val="0"/>
          <w:color w:val="000000"/>
          <w:kern w:val="0"/>
          <w:sz w:val="32"/>
          <w:szCs w:val="32"/>
          <w:u w:val="none"/>
        </w:rPr>
        <w:t>浙江工业大学法学院</w:t>
      </w:r>
    </w:p>
    <w:p w14:paraId="460E082A">
      <w:pPr>
        <w:tabs>
          <w:tab w:val="left" w:pos="0"/>
          <w:tab w:val="left" w:pos="3819"/>
          <w:tab w:val="left" w:pos="4099"/>
        </w:tabs>
        <w:adjustRightInd w:val="0"/>
        <w:snapToGrid w:val="0"/>
        <w:spacing w:line="580" w:lineRule="exact"/>
        <w:ind w:firstLine="961" w:firstLineChars="300"/>
        <w:jc w:val="both"/>
        <w:rPr>
          <w:rFonts w:hint="eastAsia" w:ascii="黑体" w:hAnsi="黑体" w:eastAsia="黑体" w:cs="黑体"/>
          <w:b/>
          <w:bCs/>
          <w:strike w:val="0"/>
          <w:dstrike w:val="0"/>
          <w:color w:val="000000"/>
          <w:kern w:val="0"/>
          <w:sz w:val="32"/>
          <w:szCs w:val="32"/>
          <w:u w:val="none"/>
        </w:rPr>
      </w:pPr>
      <w:r>
        <w:rPr>
          <w:rFonts w:hint="eastAsia" w:ascii="黑体" w:hAnsi="黑体" w:eastAsia="黑体" w:cs="黑体"/>
          <w:b/>
          <w:bCs/>
          <w:strike w:val="0"/>
          <w:dstrike w:val="0"/>
          <w:color w:val="000000"/>
          <w:kern w:val="0"/>
          <w:sz w:val="32"/>
          <w:szCs w:val="32"/>
          <w:u w:val="none"/>
        </w:rPr>
        <w:t>研究生申请学位创新</w:t>
      </w:r>
      <w:r>
        <w:rPr>
          <w:rFonts w:hint="eastAsia" w:ascii="黑体" w:hAnsi="黑体" w:eastAsia="黑体" w:cs="黑体"/>
          <w:b/>
          <w:bCs/>
          <w:strike w:val="0"/>
          <w:dstrike w:val="0"/>
          <w:color w:val="000000"/>
          <w:kern w:val="0"/>
          <w:sz w:val="32"/>
          <w:szCs w:val="32"/>
          <w:u w:val="none"/>
        </w:rPr>
        <w:t>性</w:t>
      </w:r>
      <w:r>
        <w:rPr>
          <w:rFonts w:hint="eastAsia" w:ascii="黑体" w:hAnsi="黑体" w:eastAsia="黑体" w:cs="黑体"/>
          <w:b/>
          <w:bCs/>
          <w:strike w:val="0"/>
          <w:dstrike w:val="0"/>
          <w:color w:val="000000"/>
          <w:kern w:val="0"/>
          <w:sz w:val="32"/>
          <w:szCs w:val="32"/>
          <w:u w:val="none"/>
        </w:rPr>
        <w:t>成果要求规定</w:t>
      </w:r>
    </w:p>
    <w:p w14:paraId="22B5B00F">
      <w:pPr>
        <w:tabs>
          <w:tab w:val="left" w:pos="0"/>
          <w:tab w:val="left" w:pos="3819"/>
          <w:tab w:val="left" w:pos="4099"/>
        </w:tabs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第一条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 xml:space="preserve"> 为贯彻党的教育方针、落实立德树人根本任务，加快构建卓越研究生教育体系，保证硕士学位授予质量。根据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《中华人民共和国学位法》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、国家相关文件，在《浙江工业大学研究生申请学位创新性成果要求规定》的基础上，结合学院实际，制定本规定。</w:t>
      </w:r>
    </w:p>
    <w:p w14:paraId="191CA5B4">
      <w:pPr>
        <w:tabs>
          <w:tab w:val="left" w:pos="0"/>
          <w:tab w:val="left" w:pos="3819"/>
          <w:tab w:val="left" w:pos="4099"/>
        </w:tabs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第二条 研究生申请学位的创新性成果，应由研究生攻读学位期间在导师指导下独立完成，以学位论文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或者规定的实践成果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等形式完整呈现。学位论文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或者规定的实践成果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是进行学位评定的主要依据。</w:t>
      </w:r>
    </w:p>
    <w:p w14:paraId="72B4611D">
      <w:pPr>
        <w:tabs>
          <w:tab w:val="left" w:pos="0"/>
          <w:tab w:val="left" w:pos="3819"/>
          <w:tab w:val="left" w:pos="4099"/>
        </w:tabs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第三条 学位论文可用于申请硕士学术学位、硕士专业学位，规定的实践成果可用于申请硕士专业学位。</w:t>
      </w:r>
    </w:p>
    <w:p w14:paraId="1A01FC22">
      <w:pPr>
        <w:numPr>
          <w:ilvl w:val="0"/>
          <w:numId w:val="1"/>
        </w:numPr>
        <w:tabs>
          <w:tab w:val="left" w:pos="0"/>
          <w:tab w:val="left" w:pos="3819"/>
          <w:tab w:val="left" w:pos="4099"/>
        </w:tabs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研究生可以以学术期刊论文、学术会议论文、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专著、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奖项、研究报告等多种形式（以下统称学术成果）呈现相关创新性成果。学术成果可以作为评价学位论文水平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或者规定的实践成果水平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的重要参考。</w:t>
      </w:r>
    </w:p>
    <w:p w14:paraId="1F905763">
      <w:pPr>
        <w:numPr>
          <w:ilvl w:val="0"/>
          <w:numId w:val="1"/>
        </w:numPr>
        <w:tabs>
          <w:tab w:val="left" w:pos="0"/>
          <w:tab w:val="left" w:pos="3819"/>
          <w:tab w:val="left" w:pos="4099"/>
        </w:tabs>
        <w:adjustRightInd w:val="0"/>
        <w:snapToGrid w:val="0"/>
        <w:spacing w:line="580" w:lineRule="exact"/>
        <w:ind w:left="0" w:leftChars="0" w:firstLine="640" w:firstLineChars="200"/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研究生用于申请硕士学位的创新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性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成果，应当在相应学科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或者专业领域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具有先进性。</w:t>
      </w:r>
    </w:p>
    <w:p w14:paraId="6370EAF1">
      <w:pPr>
        <w:tabs>
          <w:tab w:val="left" w:pos="0"/>
          <w:tab w:val="left" w:pos="3819"/>
          <w:tab w:val="left" w:pos="4099"/>
        </w:tabs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第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六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条 学术学位研究生在攻读硕士学位期间，学位论文评审通过，创新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性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成果符合以下条件之一，可申请学位：</w:t>
      </w:r>
    </w:p>
    <w:p w14:paraId="4BCB29AB">
      <w:pPr>
        <w:tabs>
          <w:tab w:val="left" w:pos="0"/>
          <w:tab w:val="left" w:pos="3819"/>
          <w:tab w:val="left" w:pos="4099"/>
        </w:tabs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1.学位论文首次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评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审专家评阅意见均为“A（同意答辩）”，且评阅成绩为90分及以上的份数不少于总份数的三分之二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（需送审前申请）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；</w:t>
      </w:r>
    </w:p>
    <w:p w14:paraId="295C2470">
      <w:pPr>
        <w:tabs>
          <w:tab w:val="left" w:pos="0"/>
          <w:tab w:val="left" w:pos="3819"/>
          <w:tab w:val="left" w:pos="4099"/>
        </w:tabs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2.发表（含录用）学院认定的I类期刊论文1篇（前四，导师为第一完成人）；</w:t>
      </w:r>
    </w:p>
    <w:p w14:paraId="143CC7CB">
      <w:pPr>
        <w:tabs>
          <w:tab w:val="left" w:pos="0"/>
          <w:tab w:val="left" w:pos="3819"/>
          <w:tab w:val="left" w:pos="4099"/>
        </w:tabs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3.撰写的研究报告获得省部级及以上领导批示（前三，导师为第一完成人）；</w:t>
      </w:r>
    </w:p>
    <w:p w14:paraId="0CF59D60">
      <w:pPr>
        <w:tabs>
          <w:tab w:val="left" w:pos="0"/>
          <w:tab w:val="left" w:pos="3819"/>
          <w:tab w:val="left" w:pos="4099"/>
        </w:tabs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4.发表（含录用）学院认定的III类及以上期刊论文1篇；</w:t>
      </w:r>
    </w:p>
    <w:p w14:paraId="14CCABAC">
      <w:pPr>
        <w:tabs>
          <w:tab w:val="left" w:pos="0"/>
          <w:tab w:val="left" w:pos="3819"/>
          <w:tab w:val="left" w:pos="4099"/>
        </w:tabs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5.出版专著、译著1部（前三，导师为第一完成人）；</w:t>
      </w:r>
    </w:p>
    <w:p w14:paraId="25CAD6B8">
      <w:pPr>
        <w:tabs>
          <w:tab w:val="left" w:pos="0"/>
          <w:tab w:val="left" w:pos="3819"/>
          <w:tab w:val="left" w:pos="4099"/>
        </w:tabs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  <w:lang w:val="en-US" w:eastAsia="zh-CN"/>
        </w:rPr>
        <w:t>6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.学术论文由研究生本人作为主讲人在国际学术会议、全国性学术会议上做交流报告或学术论文被编入会议论文集；</w:t>
      </w:r>
    </w:p>
    <w:p w14:paraId="72B22B56">
      <w:pPr>
        <w:tabs>
          <w:tab w:val="left" w:pos="0"/>
          <w:tab w:val="left" w:pos="3819"/>
          <w:tab w:val="left" w:pos="4099"/>
        </w:tabs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  <w:lang w:val="en-US" w:eastAsia="zh-CN"/>
        </w:rPr>
        <w:t>7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.公开发表（含录用）一篇学术论文，且学位论文首次评审专家评阅意见均为“A（同意答辩）”；</w:t>
      </w:r>
    </w:p>
    <w:p w14:paraId="0B6ED5C1">
      <w:pPr>
        <w:tabs>
          <w:tab w:val="left" w:pos="0"/>
          <w:tab w:val="left" w:pos="3819"/>
          <w:tab w:val="left" w:pos="4099"/>
        </w:tabs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  <w:lang w:val="en-US" w:eastAsia="zh-CN"/>
        </w:rPr>
        <w:t>8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.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学术论文在省级及以上法律征文类比赛中获奖或在国际学术会议、全国性学术会议上获奖；</w:t>
      </w:r>
    </w:p>
    <w:p w14:paraId="52DBD693">
      <w:pPr>
        <w:tabs>
          <w:tab w:val="left" w:pos="0"/>
          <w:tab w:val="left" w:pos="3819"/>
          <w:tab w:val="left" w:pos="4099"/>
        </w:tabs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按以上第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4-8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项条件之一申请学位的研究生，须参加由学院学位评定分委员会组织的公开答辩，其中学院学位评定分委员会主席或副主席为当然委员。</w:t>
      </w:r>
    </w:p>
    <w:p w14:paraId="7BFD8C0E">
      <w:pPr>
        <w:tabs>
          <w:tab w:val="left" w:pos="0"/>
          <w:tab w:val="left" w:pos="3819"/>
          <w:tab w:val="left" w:pos="4099"/>
        </w:tabs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第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七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条 专业学位研究生在攻读硕士学位期间，学位论文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或者规定的实践成果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评审通过，创新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性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成果符合以下条件之一，可申请学位：</w:t>
      </w:r>
    </w:p>
    <w:p w14:paraId="491C5734">
      <w:pPr>
        <w:tabs>
          <w:tab w:val="left" w:pos="0"/>
          <w:tab w:val="left" w:pos="3819"/>
          <w:tab w:val="left" w:pos="4099"/>
        </w:tabs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1.学位论文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或者规定的实践成果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首次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评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审专家评阅意见均为“A（同意答辩）”，且评阅成绩为90分及以上的份数不少于总份数的三分之二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（需送审前申请）；</w:t>
      </w:r>
    </w:p>
    <w:p w14:paraId="1183CE48">
      <w:pPr>
        <w:tabs>
          <w:tab w:val="left" w:pos="0"/>
          <w:tab w:val="left" w:pos="3819"/>
          <w:tab w:val="left" w:pos="4099"/>
        </w:tabs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2.发表（含录用）论文1篇；</w:t>
      </w:r>
    </w:p>
    <w:p w14:paraId="04D2A5B5">
      <w:pPr>
        <w:tabs>
          <w:tab w:val="left" w:pos="0"/>
          <w:tab w:val="left" w:pos="3819"/>
          <w:tab w:val="left" w:pos="4099"/>
        </w:tabs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3.撰写的研究报告获得厅级及以上领导批示（前三，导师为第一完成人）；</w:t>
      </w:r>
    </w:p>
    <w:p w14:paraId="01F40597">
      <w:pPr>
        <w:tabs>
          <w:tab w:val="left" w:pos="0"/>
          <w:tab w:val="left" w:pos="3819"/>
          <w:tab w:val="left" w:pos="4099"/>
        </w:tabs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4.学术论文由研究生本人作为主讲人在国际学术会议、全国性学术会议上做交流报告或学术论文被编入会议论文集；</w:t>
      </w:r>
    </w:p>
    <w:p w14:paraId="3F9E8421">
      <w:pPr>
        <w:tabs>
          <w:tab w:val="left" w:pos="0"/>
          <w:tab w:val="left" w:pos="3819"/>
          <w:tab w:val="left" w:pos="4099"/>
        </w:tabs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  <w:lang w:val="en-US" w:eastAsia="zh-CN"/>
        </w:rPr>
        <w:t>5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.出版法律类相关著作（前三，导师为第一完成人）；</w:t>
      </w:r>
    </w:p>
    <w:p w14:paraId="11C6EBEF">
      <w:pPr>
        <w:tabs>
          <w:tab w:val="left" w:pos="0"/>
          <w:tab w:val="left" w:pos="3819"/>
          <w:tab w:val="left" w:pos="4099"/>
        </w:tabs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  <w:lang w:val="en-US" w:eastAsia="zh-CN"/>
        </w:rPr>
        <w:t>6.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学术论文在省级及以上法律征文类比赛中获奖或在国际学术会议、全国性学术会议上获奖；</w:t>
      </w:r>
    </w:p>
    <w:p w14:paraId="2E30A522">
      <w:pPr>
        <w:tabs>
          <w:tab w:val="left" w:pos="0"/>
          <w:tab w:val="left" w:pos="3819"/>
          <w:tab w:val="left" w:pos="4099"/>
        </w:tabs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7.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撰写的教学案例入选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  <w:lang w:val="en-US" w:eastAsia="zh-CN"/>
        </w:rPr>
        <w:t>国家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级教学案例库（前三，导师为第一完成人）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。</w:t>
      </w:r>
    </w:p>
    <w:p w14:paraId="4C632246">
      <w:pPr>
        <w:tabs>
          <w:tab w:val="left" w:pos="0"/>
          <w:tab w:val="left" w:pos="3819"/>
        </w:tabs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第八条 以上用于申请学位的创新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  <w:lang w:val="en-US" w:eastAsia="zh-CN"/>
        </w:rPr>
        <w:t>性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成果均为在攻读学位期间获得且以浙江工业大学为第一署名单位，除特殊说明外，研究生须是第一完成人（或第二完成人，导师为第一完成人），且内容与学位论文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  <w:lang w:val="en-US" w:eastAsia="zh-CN"/>
        </w:rPr>
        <w:t>或者规定的实践成果</w:t>
      </w: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紧密相关。</w:t>
      </w:r>
    </w:p>
    <w:p w14:paraId="68A6925B">
      <w:pPr>
        <w:tabs>
          <w:tab w:val="left" w:pos="0"/>
          <w:tab w:val="left" w:pos="3819"/>
          <w:tab w:val="left" w:pos="4099"/>
        </w:tabs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第九条 研究生申请学位时提交的创新性成果若不是正式发表，需要签学院、导师、研究生三方协议，若存在正式发表与三方协议不相符的情况，情节严重的要撤销学位。</w:t>
      </w:r>
    </w:p>
    <w:p w14:paraId="4E2C7C3B">
      <w:pPr>
        <w:tabs>
          <w:tab w:val="left" w:pos="0"/>
          <w:tab w:val="left" w:pos="3819"/>
          <w:tab w:val="left" w:pos="4099"/>
        </w:tabs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第十条 本规定自发布之日起开始实施，未尽事宜由法学院学位评定分委员会负责解释。</w:t>
      </w:r>
    </w:p>
    <w:p w14:paraId="3468B66C">
      <w:pPr>
        <w:widowControl/>
        <w:tabs>
          <w:tab w:val="left" w:pos="0"/>
          <w:tab w:val="left" w:pos="3819"/>
          <w:tab w:val="left" w:pos="4099"/>
        </w:tabs>
        <w:adjustRightInd w:val="0"/>
        <w:snapToGrid w:val="0"/>
        <w:spacing w:line="560" w:lineRule="exact"/>
        <w:rPr>
          <w:rFonts w:hint="eastAsia" w:ascii="仿宋_GB2312" w:hAnsi="仿宋" w:cs="仿宋"/>
          <w:b/>
          <w:bCs/>
          <w:strike w:val="0"/>
          <w:dstrike w:val="0"/>
          <w:color w:val="000000"/>
          <w:sz w:val="32"/>
          <w:szCs w:val="32"/>
          <w:u w:val="none"/>
        </w:rPr>
      </w:pPr>
      <w:r>
        <w:rPr>
          <w:rFonts w:hint="eastAsia" w:ascii="仿宋_GB2312" w:hAnsi="仿宋" w:cs="仿宋"/>
          <w:b/>
          <w:bCs/>
          <w:strike w:val="0"/>
          <w:dstrike w:val="0"/>
          <w:color w:val="000000"/>
          <w:sz w:val="32"/>
          <w:szCs w:val="32"/>
          <w:u w:val="none"/>
        </w:rPr>
        <w:t>附件1</w:t>
      </w:r>
    </w:p>
    <w:p w14:paraId="12B3C159">
      <w:pPr>
        <w:widowControl/>
        <w:tabs>
          <w:tab w:val="left" w:pos="0"/>
          <w:tab w:val="left" w:pos="3819"/>
          <w:tab w:val="left" w:pos="4099"/>
        </w:tabs>
        <w:adjustRightInd w:val="0"/>
        <w:snapToGrid w:val="0"/>
        <w:spacing w:line="560" w:lineRule="exact"/>
        <w:jc w:val="center"/>
        <w:rPr>
          <w:rFonts w:hint="eastAsia" w:ascii="仿宋_GB2312" w:hAnsi="仿宋" w:cs="仿宋"/>
          <w:strike w:val="0"/>
          <w:dstrike w:val="0"/>
          <w:color w:val="000000"/>
          <w:sz w:val="32"/>
          <w:szCs w:val="32"/>
          <w:u w:val="none"/>
        </w:rPr>
      </w:pPr>
      <w:r>
        <w:rPr>
          <w:rFonts w:hint="eastAsia" w:ascii="仿宋_GB2312" w:hAnsi="仿宋" w:cs="仿宋"/>
          <w:b/>
          <w:bCs/>
          <w:strike w:val="0"/>
          <w:dstrike w:val="0"/>
          <w:color w:val="000000"/>
          <w:sz w:val="32"/>
          <w:szCs w:val="32"/>
          <w:u w:val="none"/>
        </w:rPr>
        <w:t>法学院学位申请的学术期刊目录分类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5450"/>
      </w:tblGrid>
      <w:tr w14:paraId="66F33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5" w:hRule="atLeast"/>
        </w:trPr>
        <w:tc>
          <w:tcPr>
            <w:tcW w:w="2235" w:type="dxa"/>
            <w:noWrap w:val="0"/>
            <w:vAlign w:val="top"/>
          </w:tcPr>
          <w:p w14:paraId="72208513">
            <w:pPr>
              <w:widowControl/>
              <w:tabs>
                <w:tab w:val="left" w:pos="0"/>
                <w:tab w:val="left" w:pos="3819"/>
                <w:tab w:val="left" w:pos="4099"/>
              </w:tabs>
              <w:adjustRightInd w:val="0"/>
              <w:snapToGrid w:val="0"/>
              <w:spacing w:line="560" w:lineRule="exact"/>
              <w:ind w:firstLine="560" w:firstLineChars="200"/>
              <w:jc w:val="center"/>
              <w:rPr>
                <w:rFonts w:hint="eastAsia" w:ascii="仿宋_GB2312" w:hAnsi="仿宋" w:cs="仿宋"/>
                <w:strike w:val="0"/>
                <w:dstrike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" w:cs="仿宋"/>
                <w:strike w:val="0"/>
                <w:dstrike w:val="0"/>
                <w:color w:val="000000"/>
                <w:sz w:val="28"/>
                <w:szCs w:val="28"/>
                <w:u w:val="none"/>
              </w:rPr>
              <w:t>序号</w:t>
            </w:r>
          </w:p>
        </w:tc>
        <w:tc>
          <w:tcPr>
            <w:tcW w:w="5450" w:type="dxa"/>
            <w:noWrap w:val="0"/>
            <w:vAlign w:val="top"/>
          </w:tcPr>
          <w:p w14:paraId="51FABA39">
            <w:pPr>
              <w:widowControl/>
              <w:tabs>
                <w:tab w:val="left" w:pos="0"/>
                <w:tab w:val="left" w:pos="3819"/>
                <w:tab w:val="left" w:pos="4099"/>
              </w:tabs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仿宋" w:cs="仿宋"/>
                <w:strike w:val="0"/>
                <w:dstrike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" w:cs="仿宋"/>
                <w:strike w:val="0"/>
                <w:dstrike w:val="0"/>
                <w:color w:val="000000"/>
                <w:sz w:val="28"/>
                <w:szCs w:val="28"/>
                <w:u w:val="none"/>
              </w:rPr>
              <w:t>刊物名</w:t>
            </w:r>
          </w:p>
        </w:tc>
      </w:tr>
      <w:tr w14:paraId="5FF09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2235" w:type="dxa"/>
            <w:noWrap w:val="0"/>
            <w:vAlign w:val="top"/>
          </w:tcPr>
          <w:p w14:paraId="642EB645">
            <w:pPr>
              <w:widowControl/>
              <w:tabs>
                <w:tab w:val="left" w:pos="0"/>
                <w:tab w:val="left" w:pos="3819"/>
                <w:tab w:val="left" w:pos="4099"/>
              </w:tabs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仿宋" w:cs="仿宋"/>
                <w:strike w:val="0"/>
                <w:dstrike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" w:cs="仿宋"/>
                <w:strike w:val="0"/>
                <w:dstrike w:val="0"/>
                <w:color w:val="000000"/>
                <w:sz w:val="28"/>
                <w:szCs w:val="28"/>
                <w:u w:val="none"/>
              </w:rPr>
              <w:fldChar w:fldCharType="begin"/>
            </w:r>
            <w:r>
              <w:rPr>
                <w:rFonts w:hint="eastAsia" w:ascii="仿宋_GB2312" w:hAnsi="仿宋" w:cs="仿宋"/>
                <w:strike w:val="0"/>
                <w:dstrike w:val="0"/>
                <w:color w:val="000000"/>
                <w:sz w:val="28"/>
                <w:szCs w:val="28"/>
                <w:u w:val="none"/>
              </w:rPr>
              <w:instrText xml:space="preserve"> = 1 \* ROMAN \* MERGEFORMAT </w:instrText>
            </w:r>
            <w:r>
              <w:rPr>
                <w:rFonts w:hint="eastAsia" w:ascii="仿宋_GB2312" w:hAnsi="仿宋" w:cs="仿宋"/>
                <w:strike w:val="0"/>
                <w:dstrike w:val="0"/>
                <w:color w:val="000000"/>
                <w:sz w:val="28"/>
                <w:szCs w:val="28"/>
                <w:u w:val="none"/>
              </w:rPr>
              <w:fldChar w:fldCharType="separate"/>
            </w:r>
            <w:r>
              <w:rPr>
                <w:rFonts w:hint="eastAsia" w:ascii="仿宋_GB2312"/>
                <w:strike w:val="0"/>
                <w:dstrike w:val="0"/>
                <w:sz w:val="28"/>
                <w:szCs w:val="28"/>
                <w:u w:val="none"/>
              </w:rPr>
              <w:t>I</w:t>
            </w:r>
            <w:r>
              <w:rPr>
                <w:rFonts w:hint="eastAsia" w:ascii="仿宋_GB2312" w:hAnsi="仿宋" w:cs="仿宋"/>
                <w:strike w:val="0"/>
                <w:dstrike w:val="0"/>
                <w:color w:val="000000"/>
                <w:sz w:val="28"/>
                <w:szCs w:val="28"/>
                <w:u w:val="none"/>
              </w:rPr>
              <w:fldChar w:fldCharType="end"/>
            </w:r>
            <w:r>
              <w:rPr>
                <w:rFonts w:hint="eastAsia" w:ascii="仿宋_GB2312" w:hAnsi="仿宋" w:cs="仿宋"/>
                <w:strike w:val="0"/>
                <w:dstrike w:val="0"/>
                <w:color w:val="000000"/>
                <w:sz w:val="28"/>
                <w:szCs w:val="28"/>
                <w:u w:val="none"/>
              </w:rPr>
              <w:t>类期刊</w:t>
            </w:r>
          </w:p>
        </w:tc>
        <w:tc>
          <w:tcPr>
            <w:tcW w:w="5450" w:type="dxa"/>
            <w:noWrap w:val="0"/>
            <w:vAlign w:val="top"/>
          </w:tcPr>
          <w:p w14:paraId="32E63961">
            <w:pPr>
              <w:widowControl/>
              <w:tabs>
                <w:tab w:val="left" w:pos="0"/>
                <w:tab w:val="left" w:pos="3819"/>
                <w:tab w:val="left" w:pos="4099"/>
              </w:tabs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仿宋" w:cs="仿宋"/>
                <w:strike w:val="0"/>
                <w:dstrike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" w:cs="仿宋"/>
                <w:strike w:val="0"/>
                <w:dstrike w:val="0"/>
                <w:color w:val="000000"/>
                <w:kern w:val="0"/>
                <w:sz w:val="28"/>
                <w:szCs w:val="28"/>
                <w:u w:val="none"/>
              </w:rPr>
              <w:t>浙江工业大学发布的</w:t>
            </w:r>
            <w:r>
              <w:rPr>
                <w:rFonts w:hint="eastAsia" w:ascii="仿宋_GB2312" w:hAnsi="仿宋" w:cs="仿宋"/>
                <w:strike w:val="0"/>
                <w:dstrike w:val="0"/>
                <w:color w:val="000000"/>
                <w:kern w:val="0"/>
                <w:sz w:val="28"/>
                <w:szCs w:val="28"/>
                <w:highlight w:val="none"/>
                <w:u w:val="none"/>
              </w:rPr>
              <w:t>《国内A、B类学术期刊目录》中的权威期刊</w:t>
            </w:r>
          </w:p>
        </w:tc>
      </w:tr>
      <w:tr w14:paraId="1B63A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2235" w:type="dxa"/>
            <w:noWrap w:val="0"/>
            <w:vAlign w:val="top"/>
          </w:tcPr>
          <w:p w14:paraId="43FFA118">
            <w:pPr>
              <w:widowControl/>
              <w:tabs>
                <w:tab w:val="left" w:pos="0"/>
                <w:tab w:val="left" w:pos="3819"/>
                <w:tab w:val="left" w:pos="4099"/>
              </w:tabs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仿宋" w:cs="仿宋"/>
                <w:strike w:val="0"/>
                <w:dstrike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" w:cs="仿宋"/>
                <w:strike w:val="0"/>
                <w:dstrike w:val="0"/>
                <w:color w:val="000000"/>
                <w:sz w:val="28"/>
                <w:szCs w:val="28"/>
                <w:u w:val="none"/>
              </w:rPr>
              <w:fldChar w:fldCharType="begin"/>
            </w:r>
            <w:r>
              <w:rPr>
                <w:rFonts w:hint="eastAsia" w:ascii="仿宋_GB2312" w:hAnsi="仿宋" w:cs="仿宋"/>
                <w:strike w:val="0"/>
                <w:dstrike w:val="0"/>
                <w:color w:val="000000"/>
                <w:sz w:val="28"/>
                <w:szCs w:val="28"/>
                <w:u w:val="none"/>
              </w:rPr>
              <w:instrText xml:space="preserve"> = 2 \* ROMAN \* MERGEFORMAT </w:instrText>
            </w:r>
            <w:r>
              <w:rPr>
                <w:rFonts w:hint="eastAsia" w:ascii="仿宋_GB2312" w:hAnsi="仿宋" w:cs="仿宋"/>
                <w:strike w:val="0"/>
                <w:dstrike w:val="0"/>
                <w:color w:val="000000"/>
                <w:sz w:val="28"/>
                <w:szCs w:val="28"/>
                <w:u w:val="none"/>
              </w:rPr>
              <w:fldChar w:fldCharType="separate"/>
            </w:r>
            <w:r>
              <w:rPr>
                <w:rFonts w:hint="eastAsia" w:ascii="仿宋_GB2312"/>
                <w:strike w:val="0"/>
                <w:dstrike w:val="0"/>
                <w:sz w:val="28"/>
                <w:szCs w:val="28"/>
                <w:u w:val="none"/>
              </w:rPr>
              <w:t>II</w:t>
            </w:r>
            <w:r>
              <w:rPr>
                <w:rFonts w:hint="eastAsia" w:ascii="仿宋_GB2312" w:hAnsi="仿宋" w:cs="仿宋"/>
                <w:strike w:val="0"/>
                <w:dstrike w:val="0"/>
                <w:color w:val="000000"/>
                <w:sz w:val="28"/>
                <w:szCs w:val="28"/>
                <w:u w:val="none"/>
              </w:rPr>
              <w:fldChar w:fldCharType="end"/>
            </w:r>
            <w:r>
              <w:rPr>
                <w:rFonts w:hint="eastAsia" w:ascii="仿宋_GB2312" w:hAnsi="仿宋" w:cs="仿宋"/>
                <w:strike w:val="0"/>
                <w:dstrike w:val="0"/>
                <w:color w:val="000000"/>
                <w:sz w:val="28"/>
                <w:szCs w:val="28"/>
                <w:u w:val="none"/>
              </w:rPr>
              <w:t>类期刊</w:t>
            </w:r>
          </w:p>
        </w:tc>
        <w:tc>
          <w:tcPr>
            <w:tcW w:w="5450" w:type="dxa"/>
            <w:noWrap w:val="0"/>
            <w:vAlign w:val="top"/>
          </w:tcPr>
          <w:p w14:paraId="4479EBFC">
            <w:pPr>
              <w:widowControl/>
              <w:tabs>
                <w:tab w:val="left" w:pos="0"/>
                <w:tab w:val="left" w:pos="3819"/>
                <w:tab w:val="left" w:pos="4099"/>
              </w:tabs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仿宋" w:cs="仿宋"/>
                <w:strike w:val="0"/>
                <w:dstrike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" w:cs="仿宋"/>
                <w:strike w:val="0"/>
                <w:dstrike w:val="0"/>
                <w:color w:val="000000"/>
                <w:kern w:val="0"/>
                <w:sz w:val="28"/>
                <w:szCs w:val="28"/>
                <w:u w:val="none"/>
              </w:rPr>
              <w:t>浙江工业大学发布的</w:t>
            </w:r>
            <w:r>
              <w:rPr>
                <w:rFonts w:hint="eastAsia" w:ascii="仿宋_GB2312" w:hAnsi="仿宋" w:cs="仿宋"/>
                <w:strike w:val="0"/>
                <w:dstrike w:val="0"/>
                <w:color w:val="000000"/>
                <w:kern w:val="0"/>
                <w:sz w:val="28"/>
                <w:szCs w:val="28"/>
                <w:highlight w:val="none"/>
                <w:u w:val="none"/>
              </w:rPr>
              <w:t>《国内A、B类学术期刊目录》中的A、B类期刊</w:t>
            </w:r>
          </w:p>
        </w:tc>
      </w:tr>
      <w:tr w14:paraId="52348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2235" w:type="dxa"/>
            <w:noWrap w:val="0"/>
            <w:vAlign w:val="top"/>
          </w:tcPr>
          <w:p w14:paraId="3862BF17">
            <w:pPr>
              <w:widowControl/>
              <w:tabs>
                <w:tab w:val="left" w:pos="0"/>
                <w:tab w:val="left" w:pos="3819"/>
                <w:tab w:val="left" w:pos="4099"/>
              </w:tabs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仿宋" w:cs="仿宋"/>
                <w:strike w:val="0"/>
                <w:dstrike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" w:cs="仿宋"/>
                <w:strike w:val="0"/>
                <w:dstrike w:val="0"/>
                <w:color w:val="000000"/>
                <w:sz w:val="28"/>
                <w:szCs w:val="28"/>
                <w:u w:val="none"/>
              </w:rPr>
              <w:fldChar w:fldCharType="begin"/>
            </w:r>
            <w:r>
              <w:rPr>
                <w:rFonts w:hint="eastAsia" w:ascii="仿宋_GB2312" w:hAnsi="仿宋" w:cs="仿宋"/>
                <w:strike w:val="0"/>
                <w:dstrike w:val="0"/>
                <w:color w:val="000000"/>
                <w:sz w:val="28"/>
                <w:szCs w:val="28"/>
                <w:u w:val="none"/>
              </w:rPr>
              <w:instrText xml:space="preserve"> = 3 \* ROMAN \* MERGEFORMAT </w:instrText>
            </w:r>
            <w:r>
              <w:rPr>
                <w:rFonts w:hint="eastAsia" w:ascii="仿宋_GB2312" w:hAnsi="仿宋" w:cs="仿宋"/>
                <w:strike w:val="0"/>
                <w:dstrike w:val="0"/>
                <w:color w:val="000000"/>
                <w:sz w:val="28"/>
                <w:szCs w:val="28"/>
                <w:u w:val="none"/>
              </w:rPr>
              <w:fldChar w:fldCharType="separate"/>
            </w:r>
            <w:r>
              <w:rPr>
                <w:rFonts w:hint="eastAsia" w:ascii="仿宋_GB2312"/>
                <w:strike w:val="0"/>
                <w:dstrike w:val="0"/>
                <w:sz w:val="28"/>
                <w:szCs w:val="28"/>
                <w:u w:val="none"/>
              </w:rPr>
              <w:t>III</w:t>
            </w:r>
            <w:r>
              <w:rPr>
                <w:rFonts w:hint="eastAsia" w:ascii="仿宋_GB2312" w:hAnsi="仿宋" w:cs="仿宋"/>
                <w:strike w:val="0"/>
                <w:dstrike w:val="0"/>
                <w:color w:val="000000"/>
                <w:sz w:val="28"/>
                <w:szCs w:val="28"/>
                <w:u w:val="none"/>
              </w:rPr>
              <w:fldChar w:fldCharType="end"/>
            </w:r>
            <w:r>
              <w:rPr>
                <w:rFonts w:hint="eastAsia" w:ascii="仿宋_GB2312" w:hAnsi="仿宋" w:cs="仿宋"/>
                <w:strike w:val="0"/>
                <w:dstrike w:val="0"/>
                <w:color w:val="000000"/>
                <w:sz w:val="28"/>
                <w:szCs w:val="28"/>
                <w:u w:val="none"/>
              </w:rPr>
              <w:t>类期刊</w:t>
            </w:r>
          </w:p>
        </w:tc>
        <w:tc>
          <w:tcPr>
            <w:tcW w:w="5450" w:type="dxa"/>
            <w:noWrap w:val="0"/>
            <w:vAlign w:val="top"/>
          </w:tcPr>
          <w:p w14:paraId="7746C008">
            <w:pPr>
              <w:widowControl/>
              <w:tabs>
                <w:tab w:val="left" w:pos="0"/>
                <w:tab w:val="left" w:pos="3819"/>
                <w:tab w:val="left" w:pos="4099"/>
              </w:tabs>
              <w:adjustRightInd w:val="0"/>
              <w:snapToGrid w:val="0"/>
              <w:spacing w:line="560" w:lineRule="exact"/>
              <w:jc w:val="center"/>
              <w:rPr>
                <w:rFonts w:hint="default" w:ascii="仿宋_GB2312" w:hAnsi="仿宋" w:eastAsia="仿宋_GB2312" w:cs="仿宋"/>
                <w:strike w:val="0"/>
                <w:dstrike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仿宋" w:cs="仿宋"/>
                <w:strike w:val="0"/>
                <w:dstrike w:val="0"/>
                <w:color w:val="000000"/>
                <w:sz w:val="28"/>
                <w:szCs w:val="28"/>
                <w:u w:val="none"/>
              </w:rPr>
              <w:t>除</w:t>
            </w:r>
            <w:r>
              <w:rPr>
                <w:rFonts w:hint="eastAsia" w:ascii="仿宋_GB2312" w:hAnsi="仿宋" w:cs="仿宋"/>
                <w:strike w:val="0"/>
                <w:dstrike w:val="0"/>
                <w:color w:val="000000"/>
                <w:sz w:val="28"/>
                <w:szCs w:val="28"/>
                <w:u w:val="none"/>
              </w:rPr>
              <w:fldChar w:fldCharType="begin"/>
            </w:r>
            <w:r>
              <w:rPr>
                <w:rFonts w:hint="eastAsia" w:ascii="仿宋_GB2312" w:hAnsi="仿宋" w:cs="仿宋"/>
                <w:strike w:val="0"/>
                <w:dstrike w:val="0"/>
                <w:color w:val="000000"/>
                <w:sz w:val="28"/>
                <w:szCs w:val="28"/>
                <w:u w:val="none"/>
              </w:rPr>
              <w:instrText xml:space="preserve"> = 1 \* ROMAN \* MERGEFORMAT </w:instrText>
            </w:r>
            <w:r>
              <w:rPr>
                <w:rFonts w:hint="eastAsia" w:ascii="仿宋_GB2312" w:hAnsi="仿宋" w:cs="仿宋"/>
                <w:strike w:val="0"/>
                <w:dstrike w:val="0"/>
                <w:color w:val="000000"/>
                <w:sz w:val="28"/>
                <w:szCs w:val="28"/>
                <w:u w:val="none"/>
              </w:rPr>
              <w:fldChar w:fldCharType="separate"/>
            </w:r>
            <w:r>
              <w:rPr>
                <w:rFonts w:hint="eastAsia" w:ascii="仿宋_GB2312"/>
                <w:strike w:val="0"/>
                <w:dstrike w:val="0"/>
                <w:sz w:val="28"/>
                <w:szCs w:val="28"/>
                <w:u w:val="none"/>
              </w:rPr>
              <w:t>I</w:t>
            </w:r>
            <w:r>
              <w:rPr>
                <w:rFonts w:hint="eastAsia" w:ascii="仿宋_GB2312" w:hAnsi="仿宋" w:cs="仿宋"/>
                <w:strike w:val="0"/>
                <w:dstrike w:val="0"/>
                <w:color w:val="000000"/>
                <w:sz w:val="28"/>
                <w:szCs w:val="28"/>
                <w:u w:val="none"/>
              </w:rPr>
              <w:fldChar w:fldCharType="end"/>
            </w:r>
            <w:r>
              <w:rPr>
                <w:rFonts w:hint="eastAsia" w:ascii="仿宋_GB2312" w:hAnsi="仿宋" w:cs="仿宋"/>
                <w:strike w:val="0"/>
                <w:dstrike w:val="0"/>
                <w:color w:val="000000"/>
                <w:sz w:val="28"/>
                <w:szCs w:val="28"/>
                <w:u w:val="none"/>
              </w:rPr>
              <w:t>、</w:t>
            </w:r>
            <w:r>
              <w:rPr>
                <w:rFonts w:hint="eastAsia" w:ascii="仿宋_GB2312" w:hAnsi="仿宋" w:cs="仿宋"/>
                <w:strike w:val="0"/>
                <w:dstrike w:val="0"/>
                <w:color w:val="000000"/>
                <w:sz w:val="28"/>
                <w:szCs w:val="28"/>
                <w:u w:val="none"/>
              </w:rPr>
              <w:fldChar w:fldCharType="begin"/>
            </w:r>
            <w:r>
              <w:rPr>
                <w:rFonts w:hint="eastAsia" w:ascii="仿宋_GB2312" w:hAnsi="仿宋" w:cs="仿宋"/>
                <w:strike w:val="0"/>
                <w:dstrike w:val="0"/>
                <w:color w:val="000000"/>
                <w:sz w:val="28"/>
                <w:szCs w:val="28"/>
                <w:u w:val="none"/>
              </w:rPr>
              <w:instrText xml:space="preserve"> = 2 \* ROMAN \* MERGEFORMAT </w:instrText>
            </w:r>
            <w:r>
              <w:rPr>
                <w:rFonts w:hint="eastAsia" w:ascii="仿宋_GB2312" w:hAnsi="仿宋" w:cs="仿宋"/>
                <w:strike w:val="0"/>
                <w:dstrike w:val="0"/>
                <w:color w:val="000000"/>
                <w:sz w:val="28"/>
                <w:szCs w:val="28"/>
                <w:u w:val="none"/>
              </w:rPr>
              <w:fldChar w:fldCharType="separate"/>
            </w:r>
            <w:r>
              <w:rPr>
                <w:rFonts w:hint="eastAsia" w:ascii="仿宋_GB2312"/>
                <w:strike w:val="0"/>
                <w:dstrike w:val="0"/>
                <w:sz w:val="28"/>
                <w:szCs w:val="28"/>
                <w:u w:val="none"/>
              </w:rPr>
              <w:t>II</w:t>
            </w:r>
            <w:r>
              <w:rPr>
                <w:rFonts w:hint="eastAsia" w:ascii="仿宋_GB2312" w:hAnsi="仿宋" w:cs="仿宋"/>
                <w:strike w:val="0"/>
                <w:dstrike w:val="0"/>
                <w:color w:val="000000"/>
                <w:sz w:val="28"/>
                <w:szCs w:val="28"/>
                <w:u w:val="none"/>
              </w:rPr>
              <w:fldChar w:fldCharType="end"/>
            </w:r>
            <w:r>
              <w:rPr>
                <w:rFonts w:hint="eastAsia" w:ascii="仿宋_GB2312" w:hAnsi="仿宋" w:cs="仿宋"/>
                <w:strike w:val="0"/>
                <w:dstrike w:val="0"/>
                <w:color w:val="000000"/>
                <w:sz w:val="28"/>
                <w:szCs w:val="28"/>
                <w:u w:val="none"/>
              </w:rPr>
              <w:t>类类期刊以外的南大核心</w:t>
            </w:r>
            <w:r>
              <w:rPr>
                <w:rFonts w:hint="eastAsia" w:ascii="仿宋_GB2312" w:hAnsi="仿宋" w:cs="仿宋"/>
                <w:strike w:val="0"/>
                <w:dstrike w:val="0"/>
                <w:sz w:val="28"/>
                <w:szCs w:val="28"/>
                <w:u w:val="none"/>
              </w:rPr>
              <w:t>、</w:t>
            </w:r>
            <w:r>
              <w:rPr>
                <w:rFonts w:hint="eastAsia" w:ascii="仿宋_GB2312" w:hAnsi="仿宋" w:cs="仿宋"/>
                <w:strike w:val="0"/>
                <w:dstrike w:val="0"/>
                <w:color w:val="000000"/>
                <w:sz w:val="28"/>
                <w:szCs w:val="28"/>
                <w:u w:val="none"/>
                <w:lang w:val="en-US" w:eastAsia="zh-CN"/>
              </w:rPr>
              <w:t>南大核心集刊</w:t>
            </w:r>
            <w:r>
              <w:rPr>
                <w:rFonts w:hint="eastAsia" w:ascii="仿宋_GB2312" w:hAnsi="仿宋" w:cs="仿宋"/>
                <w:strike w:val="0"/>
                <w:dstrike w:val="0"/>
                <w:color w:val="000000"/>
                <w:sz w:val="28"/>
                <w:szCs w:val="28"/>
                <w:u w:val="none"/>
                <w:lang w:val="en-US" w:eastAsia="zh-CN"/>
              </w:rPr>
              <w:t>、</w:t>
            </w:r>
            <w:r>
              <w:rPr>
                <w:rFonts w:hint="eastAsia" w:ascii="仿宋_GB2312" w:hAnsi="仿宋" w:cs="仿宋"/>
                <w:strike w:val="0"/>
                <w:dstrike w:val="0"/>
                <w:color w:val="000000"/>
                <w:sz w:val="28"/>
                <w:szCs w:val="28"/>
                <w:u w:val="none"/>
              </w:rPr>
              <w:t>北大核心期刊</w:t>
            </w:r>
          </w:p>
        </w:tc>
      </w:tr>
    </w:tbl>
    <w:p w14:paraId="60FCFCF8">
      <w:pPr>
        <w:tabs>
          <w:tab w:val="left" w:pos="0"/>
          <w:tab w:val="left" w:pos="3819"/>
          <w:tab w:val="left" w:pos="4099"/>
        </w:tabs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strike w:val="0"/>
          <w:dstrike w:val="0"/>
          <w:color w:val="000000"/>
          <w:kern w:val="0"/>
          <w:sz w:val="32"/>
          <w:szCs w:val="32"/>
          <w:u w:val="none"/>
        </w:rPr>
        <w:t>注：各期刊以研究生入学（或注册）当年公布的收录期刊目录或学校执行的期刊目录为准，学习期间如遇目录调整，被调入和调出的期刊均为有效。</w:t>
      </w:r>
    </w:p>
    <w:sectPr>
      <w:pgSz w:w="12240" w:h="15840"/>
      <w:pgMar w:top="1440" w:right="2557" w:bottom="1440" w:left="1990" w:header="720" w:footer="720" w:gutter="0"/>
      <w:cols w:equalWidth="0" w:num="1">
        <w:col w:w="9420"/>
      </w:cols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黑体">
    <w:altName w:val="汉仪中黑K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741DA4"/>
    <w:multiLevelType w:val="singleLevel"/>
    <w:tmpl w:val="08741DA4"/>
    <w:lvl w:ilvl="0" w:tentative="0">
      <w:start w:val="4"/>
      <w:numFmt w:val="chineseCounting"/>
      <w:suff w:val="space"/>
      <w:lvlText w:val="第%1条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87F42CA"/>
    <w:rsid w:val="73F2FEB8"/>
    <w:rsid w:val="F87F42CA"/>
    <w:rsid w:val="FAE7B447"/>
    <w:rsid w:val="FFF7C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2</TotalTime>
  <ScaleCrop>false</ScaleCrop>
  <LinksUpToDate>false</LinksUpToDate>
  <CharactersWithSpaces>0</CharactersWithSpaces>
  <Application>WPS Office_6.14.0.8924_F1E327BC-269C-435d-A152-05C5408002CA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2025-06-29T12:02:00Z</dcterms:created>
  <dc:creator>JIANG XIN</dc:creator>
  <cp:lastModifiedBy>JIANG XIN</cp:lastModifiedBy>
  <dcterms:modified xsi:type="dcterms:W3CDTF">2025-06-29T12:07:18Z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2052-6.14.0.8924</vt:lpwstr>
  </property>
  <property fmtid="{D5CDD505-2E9C-101B-9397-08002B2CF9AE}" pid="3" name="ICV">
    <vt:lpwstr>AF3067B3905FF202F3BA60683001BC22_41</vt:lpwstr>
  </property>
</Properties>
</file>