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楷体" w:hAnsi="楷体" w:eastAsia="楷体"/>
          <w:b/>
          <w:bCs/>
          <w:sz w:val="36"/>
          <w:szCs w:val="36"/>
        </w:rPr>
      </w:pPr>
      <w:r>
        <w:rPr>
          <w:rFonts w:hint="eastAsia" w:ascii="楷体" w:hAnsi="楷体" w:eastAsia="楷体"/>
          <w:b/>
          <w:bCs/>
          <w:sz w:val="36"/>
          <w:szCs w:val="36"/>
        </w:rPr>
        <w:t>浙江工业大学法学院本科生导师制实施办法</w:t>
      </w:r>
    </w:p>
    <w:p>
      <w:pPr>
        <w:jc w:val="center"/>
        <w:rPr>
          <w:rFonts w:ascii="仿宋_GB2312" w:hAnsi="黑体"/>
          <w:b/>
          <w:bCs/>
          <w:szCs w:val="32"/>
        </w:rPr>
      </w:pPr>
    </w:p>
    <w:p>
      <w:pPr>
        <w:spacing w:before="156" w:beforeLines="50"/>
        <w:jc w:val="center"/>
        <w:rPr>
          <w:rFonts w:ascii="仿宋_GB2312" w:hAnsi="宋体"/>
          <w:b/>
          <w:szCs w:val="32"/>
        </w:rPr>
      </w:pPr>
      <w:r>
        <w:rPr>
          <w:rFonts w:hint="eastAsia" w:ascii="仿宋_GB2312" w:hAnsi="宋体"/>
          <w:b/>
          <w:szCs w:val="32"/>
        </w:rPr>
        <w:t>第一章  总  则</w:t>
      </w:r>
    </w:p>
    <w:p>
      <w:pPr>
        <w:pStyle w:val="7"/>
        <w:numPr>
          <w:ilvl w:val="0"/>
          <w:numId w:val="1"/>
        </w:numPr>
        <w:ind w:firstLineChars="0"/>
        <w:rPr>
          <w:rFonts w:ascii="仿宋_GB2312" w:hAnsi="宋体" w:eastAsia="仿宋_GB2312"/>
          <w:sz w:val="32"/>
          <w:szCs w:val="32"/>
        </w:rPr>
      </w:pPr>
      <w:r>
        <w:rPr>
          <w:rFonts w:hint="eastAsia" w:ascii="仿宋_GB2312" w:hAnsi="宋体" w:eastAsia="仿宋_GB2312"/>
          <w:sz w:val="32"/>
          <w:szCs w:val="32"/>
        </w:rPr>
        <w:t>为了贯彻落实全国、全省高校思想政治工作会议精神和《中共浙江工业大学委员会 浙江工业大学关于加强和改进新形势下思想政治工作的实施方案》、《中共浙江工业大学委员会关于全面深化人才培养改革的决定》、《中共浙江工业大学委员会关于“课程思政”教育教学体系建设实施意见》、《浙江工业大学本科生导师制实施办法》等文件精神，落实教师立德树人的根本任务，充分发挥在本科人才培养过程中“教师主导、学生主体”的作用，促进教学相长和学生全面发展，切实提高人才培养质量，结合学院实际，特制订本办法。</w:t>
      </w:r>
    </w:p>
    <w:p>
      <w:pPr>
        <w:pStyle w:val="7"/>
        <w:numPr>
          <w:ilvl w:val="0"/>
          <w:numId w:val="1"/>
        </w:numPr>
        <w:ind w:firstLineChars="0"/>
        <w:rPr>
          <w:rFonts w:ascii="仿宋_GB2312" w:hAnsi="宋体" w:eastAsia="仿宋_GB2312"/>
          <w:sz w:val="32"/>
          <w:szCs w:val="32"/>
        </w:rPr>
      </w:pPr>
      <w:r>
        <w:rPr>
          <w:rFonts w:hint="eastAsia" w:ascii="仿宋_GB2312" w:hAnsi="宋体" w:eastAsia="仿宋_GB2312"/>
          <w:sz w:val="32"/>
          <w:szCs w:val="32"/>
        </w:rPr>
        <w:t>本科生导师制是在学生本科学习阶段，由教师担任综合导师</w:t>
      </w:r>
      <w:r>
        <w:rPr>
          <w:rFonts w:hint="eastAsia" w:ascii="仿宋_GB2312" w:hAnsi="宋体" w:eastAsia="仿宋_GB2312"/>
          <w:sz w:val="32"/>
          <w:szCs w:val="32"/>
          <w:highlight w:val="none"/>
        </w:rPr>
        <w:t>（或科研项目导师）</w:t>
      </w:r>
      <w:r>
        <w:rPr>
          <w:rFonts w:hint="eastAsia" w:ascii="仿宋_GB2312" w:hAnsi="宋体" w:eastAsia="仿宋_GB2312"/>
          <w:sz w:val="32"/>
          <w:szCs w:val="32"/>
        </w:rPr>
        <w:t>，通过思想引导、专业辅导、心理疏导，实施个性化培养，充分发挥专业教师在学生培养过程中的指导作用,提高人才培养质量，促进学生知识、能力和素质全面协调发展。</w:t>
      </w:r>
    </w:p>
    <w:p>
      <w:pPr>
        <w:pStyle w:val="7"/>
        <w:numPr>
          <w:ilvl w:val="0"/>
          <w:numId w:val="1"/>
        </w:numPr>
        <w:ind w:firstLineChars="0"/>
        <w:rPr>
          <w:rFonts w:ascii="仿宋_GB2312" w:hAnsi="宋体" w:eastAsia="仿宋_GB2312" w:cs="方正小标宋简体"/>
          <w:b/>
          <w:kern w:val="0"/>
          <w:sz w:val="32"/>
          <w:szCs w:val="32"/>
          <w:highlight w:val="none"/>
        </w:rPr>
      </w:pPr>
      <w:r>
        <w:rPr>
          <w:rFonts w:hint="eastAsia" w:ascii="仿宋_GB2312" w:hAnsi="宋体" w:eastAsia="仿宋_GB2312" w:cs="楷体_GB2312"/>
          <w:sz w:val="32"/>
          <w:szCs w:val="32"/>
          <w:highlight w:val="none"/>
        </w:rPr>
        <w:t>本科生综合导师制一般从一年级第二学期为每一位本科生配备，</w:t>
      </w:r>
      <w:r>
        <w:rPr>
          <w:rFonts w:hint="eastAsia" w:ascii="仿宋_GB2312" w:hAnsi="宋体" w:eastAsia="仿宋_GB2312" w:cs="楷体_GB2312"/>
          <w:sz w:val="32"/>
          <w:szCs w:val="32"/>
        </w:rPr>
        <w:t>并与第四学年毕业论文指导教师衔接组成学院全程本科生导师制。</w:t>
      </w:r>
      <w:r>
        <w:rPr>
          <w:rFonts w:hint="eastAsia" w:ascii="仿宋_GB2312" w:hAnsi="宋体" w:eastAsia="仿宋_GB2312" w:cs="楷体_GB2312"/>
          <w:sz w:val="32"/>
          <w:szCs w:val="32"/>
          <w:highlight w:val="none"/>
        </w:rPr>
        <w:t>具体时间根据每学期具体的教学进程适度调整安排（转专业，休学复学等特殊情况的学生单独另行安排）。</w:t>
      </w:r>
    </w:p>
    <w:p>
      <w:pPr>
        <w:spacing w:before="156" w:beforeLines="50"/>
        <w:jc w:val="center"/>
        <w:rPr>
          <w:rFonts w:ascii="仿宋_GB2312" w:hAnsi="宋体"/>
          <w:b/>
          <w:szCs w:val="32"/>
        </w:rPr>
      </w:pPr>
      <w:r>
        <w:rPr>
          <w:rFonts w:hint="eastAsia" w:ascii="仿宋_GB2312" w:hAnsi="宋体"/>
          <w:b/>
          <w:szCs w:val="32"/>
        </w:rPr>
        <w:t>第二章 选聘条件</w:t>
      </w:r>
    </w:p>
    <w:p>
      <w:pPr>
        <w:pStyle w:val="7"/>
        <w:numPr>
          <w:ilvl w:val="0"/>
          <w:numId w:val="1"/>
        </w:numPr>
        <w:ind w:firstLineChars="0"/>
        <w:rPr>
          <w:rFonts w:ascii="仿宋_GB2312" w:hAnsi="宋体" w:eastAsia="仿宋_GB2312" w:cs="楷体_GB2312"/>
          <w:sz w:val="32"/>
          <w:szCs w:val="32"/>
        </w:rPr>
      </w:pPr>
      <w:r>
        <w:rPr>
          <w:rFonts w:hint="eastAsia" w:ascii="仿宋_GB2312" w:hAnsi="宋体" w:eastAsia="仿宋_GB2312" w:cs="方正小标宋简体"/>
          <w:kern w:val="0"/>
          <w:sz w:val="32"/>
          <w:szCs w:val="32"/>
        </w:rPr>
        <w:t>思想政治素质好，为人师表，身体健</w:t>
      </w:r>
      <w:r>
        <w:rPr>
          <w:rFonts w:hint="eastAsia" w:ascii="仿宋_GB2312" w:hAnsi="宋体" w:eastAsia="仿宋_GB2312" w:cs="楷体_GB2312"/>
          <w:sz w:val="32"/>
          <w:szCs w:val="32"/>
        </w:rPr>
        <w:t>康，工作责任心强，关心和尊重学生，能及时掌握学生学习与发展需求，较好的把握学生的个性特点。</w:t>
      </w:r>
    </w:p>
    <w:p>
      <w:pPr>
        <w:pStyle w:val="7"/>
        <w:numPr>
          <w:ilvl w:val="0"/>
          <w:numId w:val="1"/>
        </w:numPr>
        <w:ind w:firstLineChars="0"/>
        <w:rPr>
          <w:rFonts w:ascii="仿宋_GB2312" w:hAnsi="宋体" w:eastAsia="仿宋_GB2312" w:cs="楷体_GB2312"/>
          <w:sz w:val="32"/>
          <w:szCs w:val="32"/>
        </w:rPr>
      </w:pPr>
      <w:r>
        <w:rPr>
          <w:rFonts w:hint="eastAsia" w:ascii="仿宋_GB2312" w:hAnsi="宋体" w:eastAsia="仿宋_GB2312" w:cs="楷体_GB2312"/>
          <w:sz w:val="32"/>
          <w:szCs w:val="32"/>
        </w:rPr>
        <w:t>具有中级及以上的专业技术职务或具有博士学位；在教学考评中无不良教学记录；学术造诣较深厚，能够胜任本科生的指导，有指导毕业设计（论文）或者指导大学生学科竞赛经验的教师及优才导师优先。</w:t>
      </w:r>
    </w:p>
    <w:p>
      <w:pPr>
        <w:pStyle w:val="7"/>
        <w:numPr>
          <w:ilvl w:val="0"/>
          <w:numId w:val="1"/>
        </w:numPr>
        <w:ind w:firstLineChars="0"/>
        <w:rPr>
          <w:rFonts w:ascii="仿宋_GB2312" w:hAnsi="宋体" w:eastAsia="仿宋_GB2312" w:cs="楷体_GB2312"/>
          <w:sz w:val="32"/>
          <w:szCs w:val="32"/>
        </w:rPr>
      </w:pPr>
      <w:r>
        <w:rPr>
          <w:rFonts w:hint="eastAsia" w:ascii="仿宋_GB2312" w:hAnsi="宋体" w:eastAsia="仿宋_GB2312" w:cs="楷体_GB2312"/>
          <w:sz w:val="32"/>
          <w:szCs w:val="32"/>
        </w:rPr>
        <w:t>熟悉教育教学规律，教育教学经验丰富，了解相关专业的本科人才培养目标、毕业要求和课程体系等内容；近三年教学工作中无不良记录。</w:t>
      </w:r>
    </w:p>
    <w:p>
      <w:pPr>
        <w:pStyle w:val="7"/>
        <w:numPr>
          <w:ilvl w:val="0"/>
          <w:numId w:val="1"/>
        </w:numPr>
        <w:ind w:firstLineChars="0"/>
        <w:rPr>
          <w:rFonts w:ascii="仿宋_GB2312" w:hAnsi="宋体" w:eastAsia="仿宋_GB2312" w:cs="楷体_GB2312"/>
          <w:sz w:val="32"/>
          <w:szCs w:val="32"/>
        </w:rPr>
      </w:pPr>
      <w:r>
        <w:rPr>
          <w:rFonts w:hint="eastAsia" w:ascii="仿宋_GB2312" w:hAnsi="宋体" w:eastAsia="仿宋_GB2312" w:cs="楷体_GB2312"/>
          <w:sz w:val="32"/>
          <w:szCs w:val="32"/>
        </w:rPr>
        <w:t>若因导师指导不力，未尽职责，指导的学生毕业设计（论文）连续2年有不合格情况，暂停一年指导资格。</w:t>
      </w:r>
    </w:p>
    <w:p>
      <w:pPr>
        <w:spacing w:before="156" w:beforeLines="50"/>
        <w:jc w:val="center"/>
        <w:rPr>
          <w:rFonts w:ascii="仿宋_GB2312" w:hAnsi="宋体"/>
          <w:b/>
          <w:szCs w:val="32"/>
        </w:rPr>
      </w:pPr>
      <w:r>
        <w:rPr>
          <w:rFonts w:hint="eastAsia" w:ascii="仿宋_GB2312" w:hAnsi="宋体"/>
          <w:b/>
          <w:szCs w:val="32"/>
        </w:rPr>
        <w:t>第三章  工作职责</w:t>
      </w:r>
    </w:p>
    <w:p>
      <w:pPr>
        <w:pStyle w:val="7"/>
        <w:numPr>
          <w:ilvl w:val="0"/>
          <w:numId w:val="1"/>
        </w:numPr>
        <w:ind w:firstLineChars="0"/>
        <w:rPr>
          <w:rFonts w:ascii="仿宋_GB2312" w:hAnsi="宋体" w:eastAsia="仿宋_GB2312"/>
          <w:sz w:val="32"/>
          <w:szCs w:val="32"/>
        </w:rPr>
      </w:pPr>
      <w:r>
        <w:rPr>
          <w:rFonts w:hint="eastAsia" w:ascii="仿宋_GB2312" w:hAnsi="宋体" w:eastAsia="仿宋_GB2312"/>
          <w:sz w:val="32"/>
          <w:szCs w:val="32"/>
        </w:rPr>
        <w:t>提高学生的理想信念和抱负水平。了解和把握学生思想动态，在学生成长成才过程中提供指导性意见，帮助学生树立正确的世界观、人生观和价值观，提高学生思想政治素质、道德修养，培养家国情怀，树立远大理想，塑造健全人格。</w:t>
      </w:r>
    </w:p>
    <w:p>
      <w:pPr>
        <w:pStyle w:val="7"/>
        <w:numPr>
          <w:ilvl w:val="0"/>
          <w:numId w:val="1"/>
        </w:numPr>
        <w:ind w:firstLineChars="0"/>
        <w:rPr>
          <w:rFonts w:ascii="仿宋_GB2312" w:hAnsi="宋体" w:eastAsia="仿宋_GB2312"/>
          <w:sz w:val="32"/>
          <w:szCs w:val="32"/>
        </w:rPr>
      </w:pPr>
      <w:r>
        <w:rPr>
          <w:rFonts w:hint="eastAsia" w:ascii="仿宋_GB2312" w:hAnsi="宋体" w:eastAsia="仿宋_GB2312"/>
          <w:sz w:val="32"/>
          <w:szCs w:val="32"/>
        </w:rPr>
        <w:t>关注学生健康成长。加强与学生的沟通与交流，每学期开学两周内应与学生见面，并根据实际情况制定学生本学期的学习与发展计划。每学年与被指导的学生个别面谈或集体指导不少于4次，共同完成填写《法学新青年成长记录本》，帮助学生分析和解决遇到的困惑和问题，培养学生自我教育、自我管理、自我服务和自我监督的“四自”能力。</w:t>
      </w:r>
    </w:p>
    <w:p>
      <w:pPr>
        <w:pStyle w:val="7"/>
        <w:numPr>
          <w:ilvl w:val="0"/>
          <w:numId w:val="1"/>
        </w:numPr>
        <w:ind w:firstLineChars="0"/>
        <w:rPr>
          <w:rFonts w:ascii="仿宋_GB2312" w:hAnsi="宋体" w:eastAsia="仿宋_GB2312"/>
          <w:sz w:val="32"/>
          <w:szCs w:val="32"/>
        </w:rPr>
      </w:pPr>
      <w:r>
        <w:rPr>
          <w:rFonts w:hint="eastAsia" w:ascii="仿宋_GB2312" w:hAnsi="宋体" w:eastAsia="仿宋_GB2312"/>
          <w:sz w:val="32"/>
          <w:szCs w:val="32"/>
        </w:rPr>
        <w:t>关心学生学业进步。帮助学生了解专业培养目标、培养计划及专业前沿动态，扩大学生视野，培养学生学习兴趣。根据学生个性差异，在学生制订个人学习计划、选课和设计个人学业规划等方面予以具体指导；全程指导学生的毕业论文、专业实习、毕业实习等。</w:t>
      </w:r>
    </w:p>
    <w:p>
      <w:pPr>
        <w:pStyle w:val="7"/>
        <w:numPr>
          <w:ilvl w:val="0"/>
          <w:numId w:val="1"/>
        </w:numPr>
        <w:ind w:firstLineChars="0"/>
        <w:rPr>
          <w:rFonts w:ascii="仿宋_GB2312" w:hAnsi="宋体" w:eastAsia="仿宋_GB2312"/>
          <w:sz w:val="32"/>
          <w:szCs w:val="32"/>
        </w:rPr>
      </w:pPr>
      <w:r>
        <w:rPr>
          <w:rFonts w:hint="eastAsia" w:ascii="仿宋_GB2312" w:hAnsi="宋体" w:eastAsia="仿宋_GB2312"/>
          <w:sz w:val="32"/>
          <w:szCs w:val="32"/>
        </w:rPr>
        <w:t>做好学生日常管理工作。树立全员育人意识，爱护、关心学生，关注学生身心健康，必要时及时向学院、家长提供所指导学生的学习和生活动态情况，与班主任、年级辅导员保持联系，协助做好一年一度的奖学金评定、学年总结和毕业鉴定工作，参加有关学生管理工作必要的例会等。</w:t>
      </w:r>
    </w:p>
    <w:p>
      <w:pPr>
        <w:pStyle w:val="7"/>
        <w:numPr>
          <w:ilvl w:val="0"/>
          <w:numId w:val="1"/>
        </w:numPr>
        <w:ind w:firstLineChars="0"/>
        <w:rPr>
          <w:rFonts w:ascii="仿宋_GB2312" w:hAnsi="宋体" w:eastAsia="仿宋_GB2312"/>
          <w:sz w:val="32"/>
          <w:szCs w:val="32"/>
        </w:rPr>
      </w:pPr>
      <w:r>
        <w:rPr>
          <w:rFonts w:hint="eastAsia" w:ascii="仿宋_GB2312" w:hAnsi="宋体" w:eastAsia="仿宋_GB2312"/>
          <w:sz w:val="32"/>
          <w:szCs w:val="32"/>
        </w:rPr>
        <w:t>培养学生法律职业能力。结合自身科研和学习体会，鼓励和指导学生参加大学生科技竞赛、社会实践活动和科研活动，鼓励学有余力的学生参加导师的有关科研工作，培养学生创新精神和实践能力。</w:t>
      </w:r>
    </w:p>
    <w:p>
      <w:pPr>
        <w:pStyle w:val="7"/>
        <w:numPr>
          <w:ilvl w:val="0"/>
          <w:numId w:val="1"/>
        </w:numPr>
        <w:ind w:firstLineChars="0"/>
        <w:rPr>
          <w:rFonts w:ascii="仿宋_GB2312" w:hAnsi="宋体" w:eastAsia="仿宋_GB2312"/>
          <w:sz w:val="32"/>
          <w:szCs w:val="32"/>
        </w:rPr>
      </w:pPr>
      <w:r>
        <w:rPr>
          <w:rFonts w:hint="eastAsia" w:ascii="仿宋_GB2312" w:hAnsi="宋体" w:eastAsia="仿宋_GB2312"/>
          <w:sz w:val="32"/>
          <w:szCs w:val="32"/>
        </w:rPr>
        <w:t>做好职业生涯规划和就业指导工作。充分利用自身优势和资源，积极向用人单位推荐毕业生；鼓励学生继续深造，做好相应学生考研、出国的引导、推荐和指导工作。</w:t>
      </w:r>
    </w:p>
    <w:p>
      <w:pPr>
        <w:spacing w:before="156" w:beforeLines="50"/>
        <w:jc w:val="center"/>
        <w:rPr>
          <w:rFonts w:ascii="仿宋_GB2312" w:hAnsi="宋体"/>
          <w:b/>
          <w:szCs w:val="32"/>
        </w:rPr>
      </w:pPr>
      <w:r>
        <w:rPr>
          <w:rFonts w:hint="eastAsia" w:ascii="仿宋_GB2312" w:hAnsi="宋体"/>
          <w:b/>
          <w:szCs w:val="32"/>
        </w:rPr>
        <w:t>第四章  实施、管理与考评</w:t>
      </w:r>
    </w:p>
    <w:p>
      <w:pPr>
        <w:pStyle w:val="7"/>
        <w:numPr>
          <w:ilvl w:val="0"/>
          <w:numId w:val="1"/>
        </w:numPr>
        <w:ind w:firstLineChars="0"/>
        <w:rPr>
          <w:rFonts w:ascii="仿宋_GB2312" w:hAnsi="宋体" w:eastAsia="仿宋_GB2312"/>
          <w:sz w:val="32"/>
          <w:szCs w:val="32"/>
        </w:rPr>
      </w:pPr>
      <w:r>
        <w:rPr>
          <w:rFonts w:hint="eastAsia" w:ascii="仿宋_GB2312" w:hAnsi="宋体" w:eastAsia="仿宋_GB2312"/>
          <w:sz w:val="32"/>
          <w:szCs w:val="32"/>
        </w:rPr>
        <w:t>学院</w:t>
      </w:r>
      <w:bookmarkStart w:id="0" w:name="_GoBack"/>
      <w:bookmarkEnd w:id="0"/>
      <w:r>
        <w:rPr>
          <w:rFonts w:hint="eastAsia" w:ascii="仿宋_GB2312" w:hAnsi="宋体" w:eastAsia="仿宋_GB2312"/>
          <w:sz w:val="32"/>
          <w:szCs w:val="32"/>
        </w:rPr>
        <w:t>成立本科生导师制工作小组，由学院院长担任组长。工作小组主要负责本科生导师制相关政策的制定、监督和实施，导师的选聘、日常管理、年度考核等工作。</w:t>
      </w:r>
    </w:p>
    <w:p>
      <w:pPr>
        <w:pStyle w:val="7"/>
        <w:numPr>
          <w:ilvl w:val="0"/>
          <w:numId w:val="1"/>
        </w:numPr>
        <w:ind w:firstLineChars="0"/>
        <w:rPr>
          <w:rFonts w:ascii="仿宋_GB2312" w:hAnsi="宋体" w:eastAsia="仿宋_GB2312"/>
          <w:sz w:val="32"/>
          <w:szCs w:val="32"/>
        </w:rPr>
      </w:pPr>
      <w:r>
        <w:rPr>
          <w:rFonts w:hint="eastAsia" w:ascii="仿宋_GB2312" w:hAnsi="宋体" w:eastAsia="仿宋_GB2312"/>
          <w:sz w:val="32"/>
          <w:szCs w:val="32"/>
        </w:rPr>
        <w:t>遵循志愿优先、适当调整的原则。综合导师制在全日制本科生中实行，每位</w:t>
      </w:r>
      <w:r>
        <w:rPr>
          <w:rFonts w:hint="eastAsia" w:ascii="仿宋_GB2312" w:hAnsi="宋体" w:eastAsia="仿宋_GB2312"/>
          <w:sz w:val="32"/>
          <w:szCs w:val="32"/>
          <w:lang w:eastAsia="zh-Hans"/>
        </w:rPr>
        <w:t>综合</w:t>
      </w:r>
      <w:r>
        <w:rPr>
          <w:rFonts w:hint="eastAsia" w:ascii="仿宋_GB2312" w:hAnsi="宋体" w:eastAsia="仿宋_GB2312"/>
          <w:sz w:val="32"/>
          <w:szCs w:val="32"/>
        </w:rPr>
        <w:t>导师原则上每届指导不超过</w:t>
      </w:r>
      <w:r>
        <w:rPr>
          <w:rFonts w:hint="eastAsia" w:ascii="仿宋_GB2312" w:hAnsi="宋体" w:eastAsia="仿宋_GB2312"/>
          <w:sz w:val="32"/>
          <w:szCs w:val="32"/>
          <w:highlight w:val="none"/>
          <w:lang w:val="en-US" w:eastAsia="zh-CN"/>
        </w:rPr>
        <w:t>4</w:t>
      </w:r>
      <w:r>
        <w:rPr>
          <w:rFonts w:hint="eastAsia" w:ascii="仿宋_GB2312" w:hAnsi="宋体" w:eastAsia="仿宋_GB2312"/>
          <w:sz w:val="32"/>
          <w:szCs w:val="32"/>
          <w:highlight w:val="none"/>
        </w:rPr>
        <w:t>名</w:t>
      </w:r>
      <w:r>
        <w:rPr>
          <w:rFonts w:hint="eastAsia" w:ascii="仿宋_GB2312" w:hAnsi="宋体" w:eastAsia="仿宋_GB2312"/>
          <w:sz w:val="32"/>
          <w:szCs w:val="32"/>
        </w:rPr>
        <w:t>学生，每学年根据</w:t>
      </w:r>
      <w:r>
        <w:rPr>
          <w:rFonts w:hint="eastAsia" w:ascii="仿宋_GB2312" w:hAnsi="宋体" w:eastAsia="仿宋_GB2312"/>
          <w:sz w:val="32"/>
          <w:szCs w:val="32"/>
          <w:lang w:eastAsia="zh-Hans"/>
        </w:rPr>
        <w:t>综合</w:t>
      </w:r>
      <w:r>
        <w:rPr>
          <w:rFonts w:hint="eastAsia" w:ascii="仿宋_GB2312" w:hAnsi="宋体" w:eastAsia="仿宋_GB2312"/>
          <w:sz w:val="32"/>
          <w:szCs w:val="32"/>
        </w:rPr>
        <w:t>导师与学生人数适度调整。</w:t>
      </w:r>
    </w:p>
    <w:p>
      <w:pPr>
        <w:pStyle w:val="7"/>
        <w:numPr>
          <w:ilvl w:val="0"/>
          <w:numId w:val="1"/>
        </w:numPr>
        <w:ind w:firstLineChars="0"/>
        <w:rPr>
          <w:rFonts w:ascii="仿宋_GB2312" w:hAnsi="宋体" w:eastAsia="仿宋_GB2312"/>
          <w:sz w:val="32"/>
          <w:szCs w:val="32"/>
        </w:rPr>
      </w:pPr>
      <w:r>
        <w:rPr>
          <w:rFonts w:hint="eastAsia" w:ascii="仿宋_GB2312" w:hAnsi="宋体" w:eastAsia="仿宋_GB2312"/>
          <w:sz w:val="32"/>
          <w:szCs w:val="32"/>
        </w:rPr>
        <w:t>坚持全程负责制原则，综合导师须连续完成所带学生整个本科期间的综合导师工作。综合导师在任职期间长期外出进修或者身体健康等原因无充足时间指导学生的，经学院审查后，可以暂时不担任本科生综合导师。</w:t>
      </w:r>
      <w:r>
        <w:rPr>
          <w:rFonts w:hint="eastAsia" w:ascii="仿宋_GB2312" w:hAnsi="宋体" w:eastAsia="仿宋_GB2312"/>
          <w:sz w:val="32"/>
          <w:szCs w:val="32"/>
          <w:highlight w:val="none"/>
          <w:lang w:eastAsia="zh-Hans"/>
        </w:rPr>
        <w:t>综合</w:t>
      </w:r>
      <w:r>
        <w:rPr>
          <w:rFonts w:hint="eastAsia" w:ascii="仿宋_GB2312" w:hAnsi="宋体" w:eastAsia="仿宋_GB2312"/>
          <w:sz w:val="32"/>
          <w:szCs w:val="32"/>
          <w:highlight w:val="none"/>
        </w:rPr>
        <w:t>导师一旦确定，原则上不予变动。</w:t>
      </w:r>
    </w:p>
    <w:p>
      <w:pPr>
        <w:pStyle w:val="7"/>
        <w:numPr>
          <w:ilvl w:val="0"/>
          <w:numId w:val="1"/>
        </w:numPr>
        <w:ind w:firstLineChars="0"/>
        <w:rPr>
          <w:rFonts w:ascii="仿宋_GB2312" w:hAnsi="宋体" w:eastAsia="仿宋_GB2312"/>
          <w:sz w:val="32"/>
          <w:szCs w:val="32"/>
        </w:rPr>
      </w:pPr>
      <w:r>
        <w:rPr>
          <w:rFonts w:hint="eastAsia" w:ascii="仿宋_GB2312" w:hAnsi="宋体" w:eastAsia="仿宋_GB2312"/>
          <w:sz w:val="32"/>
          <w:szCs w:val="32"/>
        </w:rPr>
        <w:t>导师的工作量、考核及评优等参照学校和学院相关制度执行。</w:t>
      </w:r>
      <w:r>
        <w:rPr>
          <w:rFonts w:hint="eastAsia" w:ascii="仿宋_GB2312" w:hAnsi="宋体" w:eastAsia="仿宋_GB2312"/>
          <w:sz w:val="32"/>
          <w:szCs w:val="32"/>
          <w:lang w:eastAsia="zh-Hans"/>
        </w:rPr>
        <w:t>本科生</w:t>
      </w:r>
      <w:r>
        <w:rPr>
          <w:rFonts w:hint="eastAsia" w:ascii="仿宋_GB2312" w:hAnsi="宋体" w:eastAsia="仿宋_GB2312"/>
          <w:sz w:val="32"/>
          <w:szCs w:val="32"/>
        </w:rPr>
        <w:t>导师工作纳入教师教学工作绩效和课外育人工作绩效考核。每年度考评一次，与教师年度考核和评奖评优相结合。</w:t>
      </w:r>
    </w:p>
    <w:p>
      <w:pPr>
        <w:pStyle w:val="7"/>
        <w:numPr>
          <w:ilvl w:val="0"/>
          <w:numId w:val="1"/>
        </w:numPr>
        <w:ind w:firstLineChars="0"/>
        <w:rPr>
          <w:rFonts w:ascii="仿宋_GB2312" w:hAnsi="宋体" w:eastAsia="仿宋_GB2312"/>
          <w:sz w:val="32"/>
          <w:szCs w:val="32"/>
          <w:highlight w:val="none"/>
        </w:rPr>
      </w:pPr>
      <w:r>
        <w:rPr>
          <w:rFonts w:hint="eastAsia" w:ascii="仿宋_GB2312" w:hAnsi="仿宋_GB2312" w:eastAsia="仿宋_GB2312" w:cs="仿宋_GB2312"/>
          <w:sz w:val="32"/>
          <w:szCs w:val="32"/>
          <w:highlight w:val="none"/>
        </w:rPr>
        <w:t>每年对导师工作进行指导成效评价，评价</w:t>
      </w:r>
      <w:r>
        <w:rPr>
          <w:rFonts w:hint="eastAsia" w:ascii="仿宋_GB2312" w:hAnsi="仿宋_GB2312" w:eastAsia="仿宋_GB2312" w:cs="仿宋_GB2312"/>
          <w:sz w:val="32"/>
          <w:szCs w:val="32"/>
          <w:highlight w:val="none"/>
          <w:lang w:eastAsia="zh-Hans"/>
        </w:rPr>
        <w:t>内容涵盖学生指导、课外科技竞赛等，</w:t>
      </w:r>
      <w:r>
        <w:rPr>
          <w:rFonts w:hint="eastAsia" w:ascii="仿宋_GB2312" w:hAnsi="仿宋_GB2312" w:eastAsia="仿宋_GB2312" w:cs="仿宋_GB2312"/>
          <w:sz w:val="32"/>
          <w:szCs w:val="32"/>
          <w:highlight w:val="none"/>
        </w:rPr>
        <w:t>一般在每年年底进行，指导成效评价结果将用于学院后续导师制完善的主要依据。</w:t>
      </w:r>
    </w:p>
    <w:p>
      <w:pPr>
        <w:pStyle w:val="7"/>
        <w:numPr>
          <w:ilvl w:val="0"/>
          <w:numId w:val="1"/>
        </w:numPr>
        <w:ind w:firstLineChars="0"/>
        <w:rPr>
          <w:rFonts w:ascii="仿宋_GB2312" w:hAnsi="宋体" w:eastAsia="仿宋_GB2312"/>
          <w:sz w:val="30"/>
          <w:szCs w:val="30"/>
        </w:rPr>
      </w:pPr>
      <w:r>
        <w:rPr>
          <w:rFonts w:hint="eastAsia" w:ascii="仿宋_GB2312" w:hAnsi="宋体" w:eastAsia="仿宋_GB2312"/>
          <w:sz w:val="32"/>
          <w:szCs w:val="32"/>
        </w:rPr>
        <w:t xml:space="preserve"> 学院对优秀的本科生</w:t>
      </w:r>
      <w:r>
        <w:rPr>
          <w:rFonts w:hint="eastAsia" w:ascii="仿宋_GB2312" w:hAnsi="宋体" w:eastAsia="仿宋_GB2312"/>
          <w:sz w:val="30"/>
          <w:szCs w:val="30"/>
        </w:rPr>
        <w:t>导师</w:t>
      </w:r>
      <w:r>
        <w:rPr>
          <w:rFonts w:hint="eastAsia" w:ascii="仿宋_GB2312" w:hAnsi="宋体" w:eastAsia="仿宋_GB2312"/>
          <w:sz w:val="32"/>
          <w:szCs w:val="32"/>
        </w:rPr>
        <w:t>，</w:t>
      </w:r>
      <w:r>
        <w:rPr>
          <w:rFonts w:hint="eastAsia" w:ascii="仿宋_GB2312" w:hAnsi="宋体" w:eastAsia="仿宋_GB2312"/>
          <w:sz w:val="30"/>
          <w:szCs w:val="30"/>
        </w:rPr>
        <w:t>给予表彰和奖励。对师德失范、有严重失职行为、造成严重后果或影响恶劣的本科生导师，应暂停或取消综合导师资格，并根据有关规定追究导师相应责任。</w:t>
      </w:r>
    </w:p>
    <w:p>
      <w:pPr>
        <w:spacing w:before="156" w:beforeLines="50"/>
        <w:jc w:val="center"/>
        <w:rPr>
          <w:rFonts w:ascii="仿宋_GB2312" w:hAnsi="宋体"/>
          <w:sz w:val="30"/>
          <w:szCs w:val="30"/>
        </w:rPr>
      </w:pPr>
      <w:r>
        <w:rPr>
          <w:rFonts w:hint="eastAsia" w:ascii="仿宋_GB2312" w:hAnsi="宋体"/>
          <w:b/>
          <w:szCs w:val="32"/>
        </w:rPr>
        <w:t>第五章　附  则</w:t>
      </w:r>
    </w:p>
    <w:p>
      <w:pPr>
        <w:pStyle w:val="7"/>
        <w:numPr>
          <w:ilvl w:val="0"/>
          <w:numId w:val="1"/>
        </w:numPr>
        <w:ind w:firstLineChars="0"/>
        <w:rPr>
          <w:rFonts w:ascii="仿宋_GB2312" w:hAnsi="宋体" w:eastAsia="仿宋_GB2312"/>
          <w:sz w:val="32"/>
          <w:szCs w:val="32"/>
        </w:rPr>
      </w:pPr>
      <w:r>
        <w:rPr>
          <w:rFonts w:hint="eastAsia" w:ascii="仿宋_GB2312" w:hAnsi="宋体" w:eastAsia="仿宋_GB2312"/>
          <w:sz w:val="32"/>
          <w:szCs w:val="32"/>
        </w:rPr>
        <w:t>本办法自发文之日起执行，由学院本科生综合导师制工作小组负责解释。</w:t>
      </w:r>
    </w:p>
    <w:p>
      <w:pPr>
        <w:pStyle w:val="7"/>
        <w:ind w:firstLine="0" w:firstLineChars="0"/>
        <w:rPr>
          <w:rFonts w:ascii="仿宋_GB2312" w:hAnsi="宋体" w:eastAsia="仿宋_GB2312" w:cs="方正小标宋简体"/>
          <w:b/>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935C65"/>
    <w:multiLevelType w:val="singleLevel"/>
    <w:tmpl w:val="6B935C65"/>
    <w:lvl w:ilvl="0" w:tentative="0">
      <w:start w:val="1"/>
      <w:numFmt w:val="chineseCounting"/>
      <w:lvlText w:val="第%1条"/>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5YzU0YmZhNWZiYWFiMzAwNDJiOWFmOGRkYmUxZmQifQ=="/>
  </w:docVars>
  <w:rsids>
    <w:rsidRoot w:val="72EF523B"/>
    <w:rsid w:val="004E6839"/>
    <w:rsid w:val="005C0AA0"/>
    <w:rsid w:val="009D27E6"/>
    <w:rsid w:val="00D550E3"/>
    <w:rsid w:val="00DF3B40"/>
    <w:rsid w:val="00E27FEF"/>
    <w:rsid w:val="088126B6"/>
    <w:rsid w:val="08D40C4E"/>
    <w:rsid w:val="34E2498B"/>
    <w:rsid w:val="3F401500"/>
    <w:rsid w:val="599E5E08"/>
    <w:rsid w:val="5FF549D2"/>
    <w:rsid w:val="72EF523B"/>
    <w:rsid w:val="73733B25"/>
    <w:rsid w:val="FED8D6C7"/>
    <w:rsid w:val="FEFF5276"/>
    <w:rsid w:val="FFD93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customStyle="1" w:styleId="7">
    <w:name w:val="列出段落1"/>
    <w:basedOn w:val="1"/>
    <w:qFormat/>
    <w:uiPriority w:val="99"/>
    <w:pPr>
      <w:ind w:firstLine="420" w:firstLineChars="200"/>
    </w:pPr>
    <w:rPr>
      <w:rFonts w:ascii="Calibri" w:hAnsi="Calibri" w:eastAsia="宋体"/>
      <w:sz w:val="21"/>
    </w:rPr>
  </w:style>
  <w:style w:type="character" w:customStyle="1" w:styleId="8">
    <w:name w:val="页眉 Char"/>
    <w:basedOn w:val="6"/>
    <w:link w:val="3"/>
    <w:qFormat/>
    <w:uiPriority w:val="0"/>
    <w:rPr>
      <w:rFonts w:eastAsia="仿宋_GB2312"/>
      <w:kern w:val="2"/>
      <w:sz w:val="18"/>
      <w:szCs w:val="18"/>
    </w:rPr>
  </w:style>
  <w:style w:type="character" w:customStyle="1" w:styleId="9">
    <w:name w:val="页脚 Char"/>
    <w:basedOn w:val="6"/>
    <w:link w:val="2"/>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6</Pages>
  <Words>2050</Words>
  <Characters>2059</Characters>
  <Lines>14</Lines>
  <Paragraphs>4</Paragraphs>
  <TotalTime>8</TotalTime>
  <ScaleCrop>false</ScaleCrop>
  <LinksUpToDate>false</LinksUpToDate>
  <CharactersWithSpaces>2073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2022-10-11T00:42:00Z</dcterms:created>
  <dc:creator>Administrator</dc:creator>
  <cp:lastModifiedBy>染</cp:lastModifiedBy>
  <dcterms:modified xsi:type="dcterms:W3CDTF">2023-11-06T03:24:18Z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7675F8F2D3B117C3F19D8D63CFF66BA3</vt:lpwstr>
  </property>
</Properties>
</file>