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FCAC6" w14:textId="77777777" w:rsidR="004E5DFD" w:rsidRPr="004E5DFD" w:rsidRDefault="004E5DFD" w:rsidP="004E5DFD">
      <w:pPr>
        <w:spacing w:line="240" w:lineRule="auto"/>
        <w:ind w:firstLine="0"/>
        <w:rPr>
          <w:szCs w:val="24"/>
        </w:rPr>
      </w:pPr>
    </w:p>
    <w:p w14:paraId="220C47E5" w14:textId="602225B0" w:rsidR="00054CC5" w:rsidRPr="004E5DFD" w:rsidRDefault="000B22E1" w:rsidP="004E5DFD">
      <w:pPr>
        <w:spacing w:line="240" w:lineRule="auto"/>
        <w:ind w:firstLine="0"/>
        <w:rPr>
          <w:szCs w:val="24"/>
        </w:rPr>
      </w:pPr>
      <w:r>
        <w:rPr>
          <w:noProof/>
          <w:szCs w:val="24"/>
        </w:rPr>
        <w:drawing>
          <wp:anchor distT="0" distB="0" distL="114300" distR="114300" simplePos="0" relativeHeight="251660288" behindDoc="0" locked="0" layoutInCell="1" allowOverlap="1" wp14:anchorId="41114A92" wp14:editId="28858635">
            <wp:simplePos x="0" y="0"/>
            <wp:positionH relativeFrom="column">
              <wp:posOffset>91440</wp:posOffset>
            </wp:positionH>
            <wp:positionV relativeFrom="paragraph">
              <wp:posOffset>196850</wp:posOffset>
            </wp:positionV>
            <wp:extent cx="1276350" cy="771525"/>
            <wp:effectExtent l="0" t="0" r="0" b="9525"/>
            <wp:wrapTight wrapText="right">
              <wp:wrapPolygon edited="0">
                <wp:start x="0" y="0"/>
                <wp:lineTo x="0" y="21333"/>
                <wp:lineTo x="21278" y="21333"/>
                <wp:lineTo x="21278" y="0"/>
                <wp:lineTo x="0" y="0"/>
              </wp:wrapPolygon>
            </wp:wrapTight>
            <wp:docPr id="95"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7D9637" w14:textId="190CCD3F" w:rsidR="004E5DFD" w:rsidRPr="004E5DFD" w:rsidRDefault="008E603D" w:rsidP="004E5DFD">
      <w:pPr>
        <w:spacing w:line="240" w:lineRule="auto"/>
        <w:ind w:firstLine="0"/>
        <w:rPr>
          <w:szCs w:val="24"/>
        </w:rPr>
      </w:pPr>
      <w:r>
        <w:rPr>
          <w:noProof/>
        </w:rPr>
        <w:drawing>
          <wp:anchor distT="0" distB="0" distL="114300" distR="114300" simplePos="0" relativeHeight="251659264" behindDoc="0" locked="0" layoutInCell="1" allowOverlap="1" wp14:anchorId="0829838C" wp14:editId="1A5A2711">
            <wp:simplePos x="0" y="0"/>
            <wp:positionH relativeFrom="column">
              <wp:posOffset>219075</wp:posOffset>
            </wp:positionH>
            <wp:positionV relativeFrom="paragraph">
              <wp:posOffset>93980</wp:posOffset>
            </wp:positionV>
            <wp:extent cx="3733800" cy="514350"/>
            <wp:effectExtent l="0" t="0" r="0" b="0"/>
            <wp:wrapTight wrapText="right">
              <wp:wrapPolygon edited="0">
                <wp:start x="0" y="0"/>
                <wp:lineTo x="0" y="20800"/>
                <wp:lineTo x="21490" y="20800"/>
                <wp:lineTo x="21490" y="0"/>
                <wp:lineTo x="0" y="0"/>
              </wp:wrapPolygon>
            </wp:wrapTight>
            <wp:docPr id="9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D5CD4E" w14:textId="4C2EE087" w:rsidR="004E5DFD" w:rsidRDefault="004E5DFD" w:rsidP="004E5DFD">
      <w:pPr>
        <w:spacing w:line="240" w:lineRule="auto"/>
        <w:ind w:firstLine="0"/>
        <w:rPr>
          <w:szCs w:val="24"/>
        </w:rPr>
      </w:pPr>
    </w:p>
    <w:p w14:paraId="784E9842" w14:textId="77777777" w:rsidR="00054CC5" w:rsidRPr="004E5DFD" w:rsidRDefault="00054CC5" w:rsidP="004E5DFD">
      <w:pPr>
        <w:spacing w:line="240" w:lineRule="auto"/>
        <w:ind w:firstLine="0"/>
        <w:rPr>
          <w:szCs w:val="24"/>
        </w:rPr>
      </w:pPr>
    </w:p>
    <w:p w14:paraId="7A3206D8" w14:textId="77777777" w:rsidR="004E5DFD" w:rsidRPr="004E5DFD" w:rsidRDefault="004E5DFD" w:rsidP="004E5DFD">
      <w:pPr>
        <w:spacing w:line="240" w:lineRule="auto"/>
        <w:ind w:firstLine="0"/>
        <w:rPr>
          <w:szCs w:val="24"/>
        </w:rPr>
      </w:pPr>
    </w:p>
    <w:p w14:paraId="6C3D80AE" w14:textId="77777777" w:rsidR="004E5DFD" w:rsidRPr="004E5DFD" w:rsidRDefault="004E5DFD" w:rsidP="004E5DFD">
      <w:pPr>
        <w:spacing w:line="240" w:lineRule="auto"/>
        <w:ind w:firstLine="0"/>
        <w:jc w:val="center"/>
        <w:rPr>
          <w:rFonts w:eastAsia="黑体"/>
          <w:sz w:val="84"/>
          <w:szCs w:val="24"/>
        </w:rPr>
      </w:pPr>
      <w:r w:rsidRPr="004E5DFD">
        <w:rPr>
          <w:rFonts w:eastAsia="黑体" w:hint="eastAsia"/>
          <w:sz w:val="84"/>
          <w:szCs w:val="24"/>
        </w:rPr>
        <w:t>硕士学位论文</w:t>
      </w:r>
    </w:p>
    <w:p w14:paraId="0E7E88ED" w14:textId="77777777" w:rsidR="004E5DFD" w:rsidRPr="004E5DFD" w:rsidRDefault="004E5DFD" w:rsidP="004E5DFD">
      <w:pPr>
        <w:spacing w:line="240" w:lineRule="auto"/>
        <w:ind w:firstLine="0"/>
        <w:rPr>
          <w:szCs w:val="24"/>
        </w:rPr>
      </w:pPr>
    </w:p>
    <w:p w14:paraId="2757AD5D" w14:textId="77777777" w:rsidR="004E5DFD" w:rsidRPr="004E5DFD" w:rsidRDefault="004E5DFD" w:rsidP="004E5DFD">
      <w:pPr>
        <w:spacing w:line="240" w:lineRule="auto"/>
        <w:ind w:firstLine="0"/>
        <w:rPr>
          <w:szCs w:val="24"/>
        </w:rPr>
      </w:pPr>
    </w:p>
    <w:p w14:paraId="69A28447" w14:textId="77777777" w:rsidR="004E5DFD" w:rsidRPr="004E5DFD" w:rsidRDefault="004E5DFD" w:rsidP="004E5DFD">
      <w:pPr>
        <w:spacing w:line="240" w:lineRule="auto"/>
        <w:ind w:firstLine="0"/>
        <w:rPr>
          <w:szCs w:val="24"/>
        </w:rPr>
      </w:pPr>
    </w:p>
    <w:tbl>
      <w:tblPr>
        <w:tblW w:w="0" w:type="auto"/>
        <w:jc w:val="center"/>
        <w:tblCellMar>
          <w:left w:w="0" w:type="dxa"/>
          <w:right w:w="0" w:type="dxa"/>
        </w:tblCellMar>
        <w:tblLook w:val="04A0" w:firstRow="1" w:lastRow="0" w:firstColumn="1" w:lastColumn="0" w:noHBand="0" w:noVBand="1"/>
      </w:tblPr>
      <w:tblGrid>
        <w:gridCol w:w="717"/>
        <w:gridCol w:w="6447"/>
      </w:tblGrid>
      <w:tr w:rsidR="004E5DFD" w:rsidRPr="004E5DFD" w14:paraId="478C869B" w14:textId="77777777" w:rsidTr="002C60AA">
        <w:trPr>
          <w:jc w:val="center"/>
        </w:trPr>
        <w:tc>
          <w:tcPr>
            <w:tcW w:w="717" w:type="dxa"/>
            <w:shd w:val="clear" w:color="auto" w:fill="auto"/>
          </w:tcPr>
          <w:p w14:paraId="1AB97A2D" w14:textId="77777777" w:rsidR="004E5DFD" w:rsidRPr="004E5DFD" w:rsidRDefault="004E5DFD" w:rsidP="004E5DFD">
            <w:pPr>
              <w:spacing w:line="240" w:lineRule="auto"/>
              <w:ind w:firstLine="0"/>
              <w:rPr>
                <w:rFonts w:eastAsia="黑体"/>
                <w:sz w:val="36"/>
                <w:szCs w:val="24"/>
              </w:rPr>
            </w:pPr>
          </w:p>
        </w:tc>
        <w:tc>
          <w:tcPr>
            <w:tcW w:w="6447" w:type="dxa"/>
            <w:shd w:val="clear" w:color="auto" w:fill="auto"/>
          </w:tcPr>
          <w:p w14:paraId="5890D6C7" w14:textId="77777777" w:rsidR="004E5DFD" w:rsidRPr="004E5DFD" w:rsidRDefault="004E5DFD" w:rsidP="004E5DFD">
            <w:pPr>
              <w:spacing w:line="240" w:lineRule="auto"/>
              <w:ind w:firstLine="0"/>
              <w:jc w:val="center"/>
              <w:rPr>
                <w:rFonts w:eastAsia="黑体"/>
                <w:sz w:val="32"/>
                <w:szCs w:val="32"/>
              </w:rPr>
            </w:pPr>
            <w:r w:rsidRPr="004E5DFD">
              <w:rPr>
                <w:rFonts w:eastAsia="黑体" w:hint="eastAsia"/>
                <w:sz w:val="32"/>
                <w:szCs w:val="32"/>
              </w:rPr>
              <w:t>认罪认罚从宽制度下检察机关量刑建议权研究</w:t>
            </w:r>
          </w:p>
        </w:tc>
      </w:tr>
      <w:tr w:rsidR="004E5DFD" w:rsidRPr="004E5DFD" w14:paraId="6622EB63" w14:textId="77777777" w:rsidTr="002C60AA">
        <w:trPr>
          <w:jc w:val="center"/>
        </w:trPr>
        <w:tc>
          <w:tcPr>
            <w:tcW w:w="717" w:type="dxa"/>
            <w:shd w:val="clear" w:color="auto" w:fill="auto"/>
          </w:tcPr>
          <w:p w14:paraId="7514BAE0" w14:textId="77777777" w:rsidR="004E5DFD" w:rsidRPr="004E5DFD" w:rsidRDefault="004E5DFD" w:rsidP="004E5DFD">
            <w:pPr>
              <w:spacing w:line="240" w:lineRule="auto"/>
              <w:ind w:firstLine="0"/>
              <w:rPr>
                <w:rFonts w:eastAsia="黑体"/>
                <w:sz w:val="36"/>
                <w:szCs w:val="24"/>
              </w:rPr>
            </w:pPr>
          </w:p>
        </w:tc>
        <w:tc>
          <w:tcPr>
            <w:tcW w:w="6447" w:type="dxa"/>
            <w:shd w:val="clear" w:color="auto" w:fill="auto"/>
          </w:tcPr>
          <w:p w14:paraId="37522A06" w14:textId="77777777" w:rsidR="004E5DFD" w:rsidRPr="004E5DFD" w:rsidRDefault="004E5DFD" w:rsidP="004E5DFD">
            <w:pPr>
              <w:spacing w:line="240" w:lineRule="auto"/>
              <w:ind w:firstLine="0"/>
              <w:jc w:val="center"/>
              <w:rPr>
                <w:rFonts w:eastAsia="黑体"/>
                <w:sz w:val="36"/>
                <w:szCs w:val="24"/>
              </w:rPr>
            </w:pPr>
          </w:p>
        </w:tc>
      </w:tr>
    </w:tbl>
    <w:p w14:paraId="30889077" w14:textId="77777777" w:rsidR="004E5DFD" w:rsidRPr="004E5DFD" w:rsidRDefault="004E5DFD" w:rsidP="004E5DFD">
      <w:pPr>
        <w:spacing w:line="240" w:lineRule="auto"/>
        <w:ind w:firstLine="0"/>
        <w:rPr>
          <w:rFonts w:eastAsia="楷体_GB2312"/>
          <w:sz w:val="32"/>
          <w:szCs w:val="24"/>
        </w:rPr>
      </w:pPr>
    </w:p>
    <w:tbl>
      <w:tblPr>
        <w:tblW w:w="0" w:type="auto"/>
        <w:jc w:val="center"/>
        <w:tblCellMar>
          <w:left w:w="0" w:type="dxa"/>
          <w:right w:w="0" w:type="dxa"/>
        </w:tblCellMar>
        <w:tblLook w:val="04A0" w:firstRow="1" w:lastRow="0" w:firstColumn="1" w:lastColumn="0" w:noHBand="0" w:noVBand="1"/>
      </w:tblPr>
      <w:tblGrid>
        <w:gridCol w:w="1526"/>
        <w:gridCol w:w="4252"/>
      </w:tblGrid>
      <w:tr w:rsidR="004E5DFD" w:rsidRPr="004E5DFD" w14:paraId="6D009C16" w14:textId="77777777" w:rsidTr="002C60AA">
        <w:trPr>
          <w:jc w:val="center"/>
        </w:trPr>
        <w:tc>
          <w:tcPr>
            <w:tcW w:w="1526" w:type="dxa"/>
            <w:shd w:val="clear" w:color="auto" w:fill="auto"/>
            <w:vAlign w:val="bottom"/>
          </w:tcPr>
          <w:p w14:paraId="021AE659"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hint="eastAsia"/>
                <w:b/>
                <w:bCs/>
                <w:sz w:val="32"/>
                <w:szCs w:val="24"/>
              </w:rPr>
              <w:t>作者姓名</w:t>
            </w:r>
          </w:p>
        </w:tc>
        <w:tc>
          <w:tcPr>
            <w:tcW w:w="4252" w:type="dxa"/>
            <w:shd w:val="clear" w:color="auto" w:fill="auto"/>
            <w:vAlign w:val="bottom"/>
          </w:tcPr>
          <w:p w14:paraId="5D0391E3" w14:textId="6AB670D1" w:rsidR="004E5DFD" w:rsidRPr="004E5DFD" w:rsidRDefault="004E5DFD" w:rsidP="00B717BB">
            <w:pPr>
              <w:spacing w:line="240" w:lineRule="auto"/>
              <w:ind w:firstLine="0"/>
              <w:jc w:val="center"/>
              <w:rPr>
                <w:rFonts w:eastAsia="楷体_GB2312"/>
                <w:sz w:val="36"/>
                <w:szCs w:val="24"/>
              </w:rPr>
            </w:pPr>
            <w:r>
              <w:rPr>
                <w:rFonts w:eastAsia="楷体_GB2312" w:hint="eastAsia"/>
                <w:b/>
                <w:bCs/>
                <w:sz w:val="32"/>
                <w:szCs w:val="24"/>
              </w:rPr>
              <w:t>赵越</w:t>
            </w:r>
          </w:p>
        </w:tc>
      </w:tr>
      <w:tr w:rsidR="004E5DFD" w:rsidRPr="004E5DFD" w14:paraId="7E88EDD8" w14:textId="77777777" w:rsidTr="002C60AA">
        <w:trPr>
          <w:jc w:val="center"/>
        </w:trPr>
        <w:tc>
          <w:tcPr>
            <w:tcW w:w="1526" w:type="dxa"/>
            <w:shd w:val="clear" w:color="auto" w:fill="auto"/>
            <w:vAlign w:val="bottom"/>
          </w:tcPr>
          <w:p w14:paraId="4B70FB0B"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hint="eastAsia"/>
                <w:b/>
                <w:bCs/>
                <w:sz w:val="32"/>
                <w:szCs w:val="24"/>
              </w:rPr>
              <w:t>指导教师</w:t>
            </w:r>
          </w:p>
        </w:tc>
        <w:tc>
          <w:tcPr>
            <w:tcW w:w="4252" w:type="dxa"/>
            <w:shd w:val="clear" w:color="auto" w:fill="auto"/>
            <w:vAlign w:val="bottom"/>
          </w:tcPr>
          <w:p w14:paraId="485BA2FF" w14:textId="77777777" w:rsidR="004E5DFD" w:rsidRPr="004E5DFD" w:rsidRDefault="004E5DFD" w:rsidP="007373B6">
            <w:pPr>
              <w:spacing w:line="240" w:lineRule="auto"/>
              <w:ind w:firstLineChars="150" w:firstLine="482"/>
              <w:jc w:val="center"/>
              <w:rPr>
                <w:rFonts w:eastAsia="楷体_GB2312"/>
                <w:b/>
                <w:sz w:val="32"/>
                <w:szCs w:val="24"/>
              </w:rPr>
            </w:pPr>
            <w:r>
              <w:rPr>
                <w:rFonts w:eastAsia="楷体_GB2312" w:hint="eastAsia"/>
                <w:b/>
                <w:sz w:val="32"/>
                <w:szCs w:val="24"/>
              </w:rPr>
              <w:t>张兆松</w:t>
            </w:r>
            <w:r w:rsidRPr="004E5DFD">
              <w:rPr>
                <w:rFonts w:eastAsia="楷体_GB2312" w:hint="eastAsia"/>
                <w:b/>
                <w:sz w:val="32"/>
                <w:szCs w:val="24"/>
              </w:rPr>
              <w:t xml:space="preserve">  </w:t>
            </w:r>
            <w:r w:rsidRPr="004E5DFD">
              <w:rPr>
                <w:rFonts w:eastAsia="楷体_GB2312" w:hint="eastAsia"/>
                <w:b/>
                <w:sz w:val="32"/>
                <w:szCs w:val="24"/>
              </w:rPr>
              <w:t>教</w:t>
            </w:r>
            <w:r w:rsidRPr="004E5DFD">
              <w:rPr>
                <w:rFonts w:eastAsia="楷体_GB2312" w:hint="eastAsia"/>
                <w:b/>
                <w:sz w:val="32"/>
                <w:szCs w:val="24"/>
              </w:rPr>
              <w:t xml:space="preserve">  </w:t>
            </w:r>
            <w:r w:rsidRPr="004E5DFD">
              <w:rPr>
                <w:rFonts w:eastAsia="楷体_GB2312" w:hint="eastAsia"/>
                <w:b/>
                <w:sz w:val="32"/>
                <w:szCs w:val="24"/>
              </w:rPr>
              <w:t>授</w:t>
            </w:r>
          </w:p>
        </w:tc>
      </w:tr>
      <w:tr w:rsidR="00AE2659" w:rsidRPr="004E5DFD" w14:paraId="5B6834F3" w14:textId="77777777" w:rsidTr="002C60AA">
        <w:trPr>
          <w:jc w:val="center"/>
        </w:trPr>
        <w:tc>
          <w:tcPr>
            <w:tcW w:w="1526" w:type="dxa"/>
            <w:shd w:val="clear" w:color="auto" w:fill="auto"/>
            <w:vAlign w:val="bottom"/>
          </w:tcPr>
          <w:p w14:paraId="4597A50E" w14:textId="2C19A0FF" w:rsidR="00AE2659" w:rsidRPr="00AE2659" w:rsidRDefault="00AE2659" w:rsidP="004E5DFD">
            <w:pPr>
              <w:spacing w:line="240" w:lineRule="auto"/>
              <w:ind w:firstLine="0"/>
              <w:jc w:val="center"/>
              <w:rPr>
                <w:rFonts w:eastAsia="楷体_GB2312" w:hint="eastAsia"/>
                <w:b/>
                <w:bCs/>
                <w:sz w:val="32"/>
                <w:szCs w:val="24"/>
                <w:highlight w:val="yellow"/>
              </w:rPr>
            </w:pPr>
            <w:r w:rsidRPr="00AE2659">
              <w:rPr>
                <w:rFonts w:eastAsia="楷体_GB2312" w:hint="eastAsia"/>
                <w:b/>
                <w:bCs/>
                <w:sz w:val="32"/>
                <w:szCs w:val="24"/>
                <w:highlight w:val="yellow"/>
              </w:rPr>
              <w:t>第二导师</w:t>
            </w:r>
          </w:p>
        </w:tc>
        <w:tc>
          <w:tcPr>
            <w:tcW w:w="4252" w:type="dxa"/>
            <w:shd w:val="clear" w:color="auto" w:fill="auto"/>
            <w:vAlign w:val="bottom"/>
          </w:tcPr>
          <w:p w14:paraId="65A3E3D4" w14:textId="41D0EC92" w:rsidR="00AE2659" w:rsidRDefault="00AE2659" w:rsidP="007373B6">
            <w:pPr>
              <w:spacing w:line="240" w:lineRule="auto"/>
              <w:ind w:firstLineChars="150" w:firstLine="482"/>
              <w:jc w:val="center"/>
              <w:rPr>
                <w:rFonts w:eastAsia="楷体_GB2312" w:hint="eastAsia"/>
                <w:b/>
                <w:sz w:val="32"/>
                <w:szCs w:val="24"/>
              </w:rPr>
            </w:pPr>
            <w:r w:rsidRPr="00AE2659">
              <w:rPr>
                <w:rFonts w:eastAsia="楷体_GB2312" w:hint="eastAsia"/>
                <w:b/>
                <w:sz w:val="32"/>
                <w:szCs w:val="24"/>
                <w:highlight w:val="yellow"/>
              </w:rPr>
              <w:t>（或实务导师）</w:t>
            </w:r>
          </w:p>
        </w:tc>
      </w:tr>
      <w:tr w:rsidR="004E5DFD" w:rsidRPr="004E5DFD" w14:paraId="550418FA" w14:textId="77777777" w:rsidTr="002C60AA">
        <w:trPr>
          <w:jc w:val="center"/>
        </w:trPr>
        <w:tc>
          <w:tcPr>
            <w:tcW w:w="1526" w:type="dxa"/>
            <w:shd w:val="clear" w:color="auto" w:fill="auto"/>
            <w:vAlign w:val="bottom"/>
          </w:tcPr>
          <w:p w14:paraId="6619762C"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hint="eastAsia"/>
                <w:b/>
                <w:bCs/>
                <w:sz w:val="32"/>
                <w:szCs w:val="24"/>
              </w:rPr>
              <w:t>学科专业</w:t>
            </w:r>
          </w:p>
        </w:tc>
        <w:tc>
          <w:tcPr>
            <w:tcW w:w="4252" w:type="dxa"/>
            <w:shd w:val="clear" w:color="auto" w:fill="auto"/>
            <w:vAlign w:val="bottom"/>
          </w:tcPr>
          <w:p w14:paraId="79D755D1" w14:textId="77777777" w:rsidR="004E5DFD" w:rsidRPr="004E5DFD" w:rsidRDefault="004E5DFD" w:rsidP="007373B6">
            <w:pPr>
              <w:spacing w:line="240" w:lineRule="auto"/>
              <w:ind w:firstLineChars="150" w:firstLine="482"/>
              <w:jc w:val="center"/>
              <w:rPr>
                <w:rFonts w:eastAsia="楷体_GB2312"/>
                <w:b/>
                <w:sz w:val="32"/>
                <w:szCs w:val="24"/>
              </w:rPr>
            </w:pPr>
            <w:r>
              <w:rPr>
                <w:rFonts w:eastAsia="楷体_GB2312" w:hint="eastAsia"/>
                <w:b/>
                <w:sz w:val="32"/>
                <w:szCs w:val="24"/>
              </w:rPr>
              <w:t>诉讼法学</w:t>
            </w:r>
          </w:p>
        </w:tc>
      </w:tr>
      <w:tr w:rsidR="004E5DFD" w:rsidRPr="004E5DFD" w14:paraId="54EA8042" w14:textId="77777777" w:rsidTr="002C60AA">
        <w:trPr>
          <w:jc w:val="center"/>
        </w:trPr>
        <w:tc>
          <w:tcPr>
            <w:tcW w:w="1526" w:type="dxa"/>
            <w:shd w:val="clear" w:color="auto" w:fill="auto"/>
            <w:vAlign w:val="bottom"/>
          </w:tcPr>
          <w:p w14:paraId="193F17F3"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hint="eastAsia"/>
                <w:b/>
                <w:bCs/>
                <w:sz w:val="32"/>
                <w:szCs w:val="24"/>
              </w:rPr>
              <w:t>学位类型</w:t>
            </w:r>
          </w:p>
        </w:tc>
        <w:tc>
          <w:tcPr>
            <w:tcW w:w="4252" w:type="dxa"/>
            <w:shd w:val="clear" w:color="auto" w:fill="auto"/>
            <w:vAlign w:val="bottom"/>
          </w:tcPr>
          <w:p w14:paraId="248672B0" w14:textId="77777777" w:rsidR="004E5DFD" w:rsidRPr="004E5DFD" w:rsidRDefault="004E5DFD" w:rsidP="007373B6">
            <w:pPr>
              <w:spacing w:line="240" w:lineRule="auto"/>
              <w:ind w:firstLineChars="150" w:firstLine="482"/>
              <w:jc w:val="center"/>
              <w:rPr>
                <w:rFonts w:eastAsia="楷体_GB2312"/>
                <w:b/>
                <w:sz w:val="32"/>
                <w:szCs w:val="24"/>
              </w:rPr>
            </w:pPr>
            <w:r>
              <w:rPr>
                <w:rFonts w:eastAsia="楷体_GB2312" w:hint="eastAsia"/>
                <w:b/>
                <w:sz w:val="32"/>
                <w:szCs w:val="24"/>
              </w:rPr>
              <w:t>法学硕士</w:t>
            </w:r>
          </w:p>
        </w:tc>
      </w:tr>
      <w:tr w:rsidR="004E5DFD" w:rsidRPr="004E5DFD" w14:paraId="046E6661" w14:textId="77777777" w:rsidTr="002C60AA">
        <w:trPr>
          <w:jc w:val="center"/>
        </w:trPr>
        <w:tc>
          <w:tcPr>
            <w:tcW w:w="1526" w:type="dxa"/>
            <w:shd w:val="clear" w:color="auto" w:fill="auto"/>
            <w:vAlign w:val="bottom"/>
          </w:tcPr>
          <w:p w14:paraId="43475844"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hint="eastAsia"/>
                <w:b/>
                <w:bCs/>
                <w:sz w:val="32"/>
                <w:szCs w:val="24"/>
              </w:rPr>
              <w:t>培养类别</w:t>
            </w:r>
          </w:p>
        </w:tc>
        <w:tc>
          <w:tcPr>
            <w:tcW w:w="4252" w:type="dxa"/>
            <w:shd w:val="clear" w:color="auto" w:fill="auto"/>
            <w:vAlign w:val="bottom"/>
          </w:tcPr>
          <w:p w14:paraId="2311FEF3" w14:textId="77777777" w:rsidR="004E5DFD" w:rsidRPr="004E5DFD" w:rsidRDefault="004E5DFD" w:rsidP="007373B6">
            <w:pPr>
              <w:spacing w:line="240" w:lineRule="auto"/>
              <w:ind w:firstLineChars="150" w:firstLine="482"/>
              <w:jc w:val="center"/>
              <w:rPr>
                <w:rFonts w:eastAsia="楷体_GB2312"/>
                <w:b/>
                <w:sz w:val="32"/>
                <w:szCs w:val="24"/>
              </w:rPr>
            </w:pPr>
            <w:r>
              <w:rPr>
                <w:rFonts w:eastAsia="楷体_GB2312" w:hint="eastAsia"/>
                <w:b/>
                <w:sz w:val="32"/>
                <w:szCs w:val="24"/>
              </w:rPr>
              <w:t>全日制学术型硕士</w:t>
            </w:r>
          </w:p>
        </w:tc>
      </w:tr>
      <w:tr w:rsidR="004E5DFD" w:rsidRPr="004E5DFD" w14:paraId="61C5ED77" w14:textId="77777777" w:rsidTr="002C60AA">
        <w:trPr>
          <w:jc w:val="center"/>
        </w:trPr>
        <w:tc>
          <w:tcPr>
            <w:tcW w:w="1526" w:type="dxa"/>
            <w:shd w:val="clear" w:color="auto" w:fill="auto"/>
            <w:vAlign w:val="bottom"/>
          </w:tcPr>
          <w:p w14:paraId="1A5A5043"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hint="eastAsia"/>
                <w:b/>
                <w:bCs/>
                <w:sz w:val="32"/>
                <w:szCs w:val="24"/>
              </w:rPr>
              <w:t>所在学院</w:t>
            </w:r>
          </w:p>
        </w:tc>
        <w:tc>
          <w:tcPr>
            <w:tcW w:w="4252" w:type="dxa"/>
            <w:shd w:val="clear" w:color="auto" w:fill="auto"/>
            <w:vAlign w:val="bottom"/>
          </w:tcPr>
          <w:p w14:paraId="15C5D696" w14:textId="7702AA86" w:rsidR="004E5DFD" w:rsidRPr="004E5DFD" w:rsidRDefault="00194140" w:rsidP="00194140">
            <w:pPr>
              <w:spacing w:line="240" w:lineRule="auto"/>
              <w:ind w:firstLine="0"/>
              <w:jc w:val="center"/>
              <w:rPr>
                <w:rFonts w:eastAsia="楷体_GB2312"/>
                <w:b/>
                <w:sz w:val="32"/>
                <w:szCs w:val="24"/>
              </w:rPr>
            </w:pPr>
            <w:r>
              <w:rPr>
                <w:rFonts w:eastAsia="楷体_GB2312" w:hint="eastAsia"/>
                <w:b/>
                <w:sz w:val="32"/>
                <w:szCs w:val="24"/>
              </w:rPr>
              <w:t xml:space="preserve">  </w:t>
            </w:r>
            <w:r w:rsidR="004E5DFD">
              <w:rPr>
                <w:rFonts w:eastAsia="楷体_GB2312" w:hint="eastAsia"/>
                <w:b/>
                <w:sz w:val="32"/>
                <w:szCs w:val="24"/>
              </w:rPr>
              <w:t>法学院</w:t>
            </w:r>
          </w:p>
        </w:tc>
      </w:tr>
      <w:tr w:rsidR="004E5DFD" w:rsidRPr="004E5DFD" w14:paraId="3EC2DB80" w14:textId="77777777" w:rsidTr="002C60AA">
        <w:trPr>
          <w:jc w:val="center"/>
        </w:trPr>
        <w:tc>
          <w:tcPr>
            <w:tcW w:w="1526" w:type="dxa"/>
            <w:shd w:val="clear" w:color="auto" w:fill="auto"/>
            <w:vAlign w:val="bottom"/>
          </w:tcPr>
          <w:p w14:paraId="0133D82F" w14:textId="77777777" w:rsidR="004E5DFD" w:rsidRPr="004E5DFD" w:rsidRDefault="004E5DFD" w:rsidP="004E5DFD">
            <w:pPr>
              <w:spacing w:line="240" w:lineRule="auto"/>
              <w:ind w:firstLine="0"/>
              <w:jc w:val="center"/>
              <w:rPr>
                <w:rFonts w:eastAsia="楷体_GB2312"/>
                <w:b/>
                <w:bCs/>
                <w:sz w:val="32"/>
                <w:szCs w:val="24"/>
              </w:rPr>
            </w:pPr>
          </w:p>
        </w:tc>
        <w:tc>
          <w:tcPr>
            <w:tcW w:w="4252" w:type="dxa"/>
            <w:shd w:val="clear" w:color="auto" w:fill="auto"/>
            <w:vAlign w:val="bottom"/>
          </w:tcPr>
          <w:p w14:paraId="3CF93068" w14:textId="77777777" w:rsidR="004E5DFD" w:rsidRPr="004E5DFD" w:rsidRDefault="004E5DFD" w:rsidP="004E5DFD">
            <w:pPr>
              <w:spacing w:line="240" w:lineRule="auto"/>
              <w:ind w:firstLine="0"/>
              <w:jc w:val="center"/>
              <w:rPr>
                <w:rFonts w:eastAsia="楷体_GB2312"/>
                <w:b/>
                <w:sz w:val="32"/>
                <w:szCs w:val="24"/>
              </w:rPr>
            </w:pPr>
          </w:p>
        </w:tc>
      </w:tr>
    </w:tbl>
    <w:p w14:paraId="0270DCFB" w14:textId="77777777" w:rsidR="00E73ED7" w:rsidRPr="004E5DFD" w:rsidRDefault="00E73ED7" w:rsidP="008E603D">
      <w:pPr>
        <w:spacing w:line="240" w:lineRule="auto"/>
        <w:ind w:firstLine="0"/>
        <w:rPr>
          <w:rFonts w:eastAsia="楷体_GB2312"/>
          <w:sz w:val="36"/>
          <w:szCs w:val="24"/>
        </w:rPr>
      </w:pP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7"/>
        <w:gridCol w:w="1989"/>
        <w:gridCol w:w="3166"/>
        <w:gridCol w:w="1618"/>
      </w:tblGrid>
      <w:tr w:rsidR="004E5DFD" w:rsidRPr="004E5DFD" w14:paraId="57CFC2F6" w14:textId="77777777" w:rsidTr="002C60AA">
        <w:trPr>
          <w:trHeight w:val="624"/>
          <w:jc w:val="center"/>
        </w:trPr>
        <w:tc>
          <w:tcPr>
            <w:tcW w:w="1947" w:type="dxa"/>
            <w:tcBorders>
              <w:top w:val="nil"/>
              <w:left w:val="nil"/>
              <w:bottom w:val="nil"/>
              <w:right w:val="nil"/>
            </w:tcBorders>
            <w:vAlign w:val="bottom"/>
          </w:tcPr>
          <w:p w14:paraId="3F268FF1" w14:textId="77777777" w:rsidR="004E5DFD" w:rsidRPr="004E5DFD" w:rsidRDefault="004E5DFD" w:rsidP="004E5DFD">
            <w:pPr>
              <w:spacing w:line="240" w:lineRule="auto"/>
              <w:ind w:firstLine="0"/>
              <w:jc w:val="center"/>
              <w:rPr>
                <w:rFonts w:eastAsia="黑体"/>
                <w:bCs/>
                <w:sz w:val="32"/>
                <w:szCs w:val="24"/>
              </w:rPr>
            </w:pPr>
          </w:p>
        </w:tc>
        <w:tc>
          <w:tcPr>
            <w:tcW w:w="1989" w:type="dxa"/>
            <w:tcBorders>
              <w:top w:val="nil"/>
              <w:left w:val="nil"/>
              <w:bottom w:val="nil"/>
              <w:right w:val="nil"/>
            </w:tcBorders>
            <w:vAlign w:val="bottom"/>
          </w:tcPr>
          <w:p w14:paraId="456CDFD3" w14:textId="77777777" w:rsidR="004E5DFD" w:rsidRPr="004E5DFD" w:rsidRDefault="004E5DFD" w:rsidP="004E5DFD">
            <w:pPr>
              <w:spacing w:line="240" w:lineRule="auto"/>
              <w:ind w:firstLine="0"/>
              <w:jc w:val="center"/>
              <w:rPr>
                <w:rFonts w:eastAsia="楷体_GB2312"/>
                <w:b/>
                <w:bCs/>
                <w:sz w:val="32"/>
                <w:szCs w:val="24"/>
              </w:rPr>
            </w:pPr>
            <w:r w:rsidRPr="004E5DFD">
              <w:rPr>
                <w:rFonts w:eastAsia="楷体_GB2312"/>
                <w:b/>
                <w:bCs/>
                <w:sz w:val="32"/>
                <w:szCs w:val="24"/>
              </w:rPr>
              <w:t>提交日期</w:t>
            </w:r>
            <w:r w:rsidRPr="004E5DFD">
              <w:rPr>
                <w:rFonts w:eastAsia="楷体_GB2312" w:hint="eastAsia"/>
                <w:b/>
                <w:bCs/>
                <w:sz w:val="32"/>
                <w:szCs w:val="24"/>
              </w:rPr>
              <w:t>：</w:t>
            </w:r>
          </w:p>
        </w:tc>
        <w:tc>
          <w:tcPr>
            <w:tcW w:w="3166" w:type="dxa"/>
            <w:tcBorders>
              <w:top w:val="nil"/>
              <w:left w:val="nil"/>
              <w:bottom w:val="nil"/>
              <w:right w:val="nil"/>
            </w:tcBorders>
            <w:vAlign w:val="bottom"/>
          </w:tcPr>
          <w:p w14:paraId="7CD3823B" w14:textId="77777777" w:rsidR="004E5DFD" w:rsidRPr="004E5DFD" w:rsidRDefault="004E5DFD" w:rsidP="004E5DFD">
            <w:pPr>
              <w:spacing w:line="240" w:lineRule="auto"/>
              <w:ind w:firstLine="0"/>
              <w:jc w:val="center"/>
              <w:rPr>
                <w:rFonts w:eastAsia="楷体_GB2312"/>
                <w:b/>
                <w:bCs/>
                <w:sz w:val="32"/>
                <w:szCs w:val="24"/>
              </w:rPr>
            </w:pPr>
            <w:r>
              <w:rPr>
                <w:rFonts w:eastAsia="楷体_GB2312"/>
                <w:b/>
                <w:bCs/>
                <w:sz w:val="32"/>
                <w:szCs w:val="24"/>
              </w:rPr>
              <w:t>2020</w:t>
            </w:r>
            <w:r w:rsidRPr="004E5DFD">
              <w:rPr>
                <w:rFonts w:eastAsia="楷体_GB2312"/>
                <w:b/>
                <w:bCs/>
                <w:sz w:val="32"/>
                <w:szCs w:val="24"/>
              </w:rPr>
              <w:t>年</w:t>
            </w:r>
            <w:r w:rsidRPr="004E5DFD">
              <w:rPr>
                <w:rFonts w:eastAsia="楷体_GB2312" w:hint="eastAsia"/>
                <w:b/>
                <w:bCs/>
                <w:sz w:val="32"/>
                <w:szCs w:val="24"/>
              </w:rPr>
              <w:t>06</w:t>
            </w:r>
            <w:r w:rsidRPr="004E5DFD">
              <w:rPr>
                <w:rFonts w:eastAsia="楷体_GB2312"/>
                <w:b/>
                <w:bCs/>
                <w:sz w:val="32"/>
                <w:szCs w:val="24"/>
              </w:rPr>
              <w:t>月</w:t>
            </w:r>
          </w:p>
        </w:tc>
        <w:tc>
          <w:tcPr>
            <w:tcW w:w="1618" w:type="dxa"/>
            <w:tcBorders>
              <w:top w:val="nil"/>
              <w:left w:val="nil"/>
              <w:bottom w:val="nil"/>
              <w:right w:val="nil"/>
            </w:tcBorders>
            <w:vAlign w:val="bottom"/>
          </w:tcPr>
          <w:p w14:paraId="593816CE" w14:textId="77777777" w:rsidR="004E5DFD" w:rsidRPr="004E5DFD" w:rsidRDefault="004E5DFD" w:rsidP="004E5DFD">
            <w:pPr>
              <w:spacing w:line="240" w:lineRule="auto"/>
              <w:ind w:firstLine="0"/>
              <w:jc w:val="center"/>
              <w:rPr>
                <w:rFonts w:eastAsia="楷体"/>
                <w:b/>
                <w:bCs/>
                <w:sz w:val="32"/>
                <w:szCs w:val="32"/>
              </w:rPr>
            </w:pPr>
          </w:p>
        </w:tc>
      </w:tr>
    </w:tbl>
    <w:p w14:paraId="5877474F" w14:textId="4815AE7A" w:rsidR="004E5DFD" w:rsidRPr="004E5DFD" w:rsidRDefault="004E5DFD" w:rsidP="004E5DFD">
      <w:pPr>
        <w:spacing w:line="240" w:lineRule="auto"/>
        <w:ind w:firstLine="0"/>
        <w:jc w:val="center"/>
        <w:rPr>
          <w:sz w:val="24"/>
          <w:szCs w:val="24"/>
        </w:rPr>
      </w:pPr>
    </w:p>
    <w:tbl>
      <w:tblPr>
        <w:tblW w:w="8720" w:type="dxa"/>
        <w:jc w:val="center"/>
        <w:tblLook w:val="04A0" w:firstRow="1" w:lastRow="0" w:firstColumn="1" w:lastColumn="0" w:noHBand="0" w:noVBand="1"/>
      </w:tblPr>
      <w:tblGrid>
        <w:gridCol w:w="4219"/>
        <w:gridCol w:w="4501"/>
      </w:tblGrid>
      <w:tr w:rsidR="004E5DFD" w:rsidRPr="004E5DFD" w14:paraId="1D6D563C" w14:textId="77777777" w:rsidTr="002C60AA">
        <w:trPr>
          <w:jc w:val="center"/>
        </w:trPr>
        <w:tc>
          <w:tcPr>
            <w:tcW w:w="8720" w:type="dxa"/>
            <w:gridSpan w:val="2"/>
          </w:tcPr>
          <w:p w14:paraId="72F789C6" w14:textId="3D23F748" w:rsidR="00E73ED7" w:rsidRPr="004E5DFD" w:rsidRDefault="00E73ED7" w:rsidP="007373B6">
            <w:pPr>
              <w:ind w:firstLine="0"/>
              <w:rPr>
                <w:rFonts w:eastAsia="黑体"/>
                <w:sz w:val="36"/>
                <w:szCs w:val="24"/>
              </w:rPr>
            </w:pPr>
          </w:p>
        </w:tc>
      </w:tr>
      <w:tr w:rsidR="004E5DFD" w:rsidRPr="004E5DFD" w14:paraId="2AE7FBD3" w14:textId="77777777" w:rsidTr="002C60AA">
        <w:trPr>
          <w:trHeight w:val="2208"/>
          <w:jc w:val="center"/>
        </w:trPr>
        <w:tc>
          <w:tcPr>
            <w:tcW w:w="8720" w:type="dxa"/>
            <w:gridSpan w:val="2"/>
            <w:vAlign w:val="center"/>
          </w:tcPr>
          <w:p w14:paraId="06920575" w14:textId="18B22D7D" w:rsidR="004E5DFD" w:rsidRPr="004E5DFD" w:rsidRDefault="006C5E45" w:rsidP="004E5DFD">
            <w:pPr>
              <w:ind w:firstLine="0"/>
              <w:jc w:val="center"/>
              <w:rPr>
                <w:rFonts w:eastAsia="黑体"/>
                <w:sz w:val="52"/>
                <w:szCs w:val="52"/>
              </w:rPr>
            </w:pPr>
            <w:r w:rsidRPr="006C5E45">
              <w:rPr>
                <w:rFonts w:eastAsia="黑体"/>
                <w:noProof/>
                <w:sz w:val="52"/>
                <w:szCs w:val="52"/>
              </w:rPr>
              <w:t xml:space="preserve">Research on the </w:t>
            </w:r>
            <w:r w:rsidR="00562981">
              <w:rPr>
                <w:rFonts w:eastAsia="黑体"/>
                <w:noProof/>
                <w:sz w:val="52"/>
                <w:szCs w:val="52"/>
              </w:rPr>
              <w:t>P</w:t>
            </w:r>
            <w:r w:rsidR="00562981" w:rsidRPr="00562981">
              <w:rPr>
                <w:rFonts w:eastAsia="黑体"/>
                <w:noProof/>
                <w:sz w:val="52"/>
                <w:szCs w:val="52"/>
              </w:rPr>
              <w:t>rocuratorate</w:t>
            </w:r>
            <w:r w:rsidRPr="006C5E45">
              <w:rPr>
                <w:rFonts w:eastAsia="黑体"/>
                <w:noProof/>
                <w:sz w:val="52"/>
                <w:szCs w:val="52"/>
              </w:rPr>
              <w:t xml:space="preserve">'s Right </w:t>
            </w:r>
            <w:r w:rsidR="00562981">
              <w:rPr>
                <w:rFonts w:eastAsia="黑体" w:hint="eastAsia"/>
                <w:noProof/>
                <w:sz w:val="52"/>
                <w:szCs w:val="52"/>
              </w:rPr>
              <w:t>to</w:t>
            </w:r>
            <w:r w:rsidRPr="006C5E45">
              <w:rPr>
                <w:rFonts w:eastAsia="黑体"/>
                <w:noProof/>
                <w:sz w:val="52"/>
                <w:szCs w:val="52"/>
              </w:rPr>
              <w:t xml:space="preserve"> Sentencing </w:t>
            </w:r>
            <w:r w:rsidR="00562981">
              <w:rPr>
                <w:rFonts w:eastAsia="黑体"/>
                <w:noProof/>
                <w:sz w:val="52"/>
                <w:szCs w:val="52"/>
              </w:rPr>
              <w:t>Advice</w:t>
            </w:r>
            <w:r w:rsidRPr="006C5E45">
              <w:rPr>
                <w:rFonts w:eastAsia="黑体"/>
                <w:noProof/>
                <w:sz w:val="52"/>
                <w:szCs w:val="52"/>
              </w:rPr>
              <w:t xml:space="preserve"> under the System of Plea Guilty</w:t>
            </w:r>
          </w:p>
        </w:tc>
      </w:tr>
      <w:tr w:rsidR="004E5DFD" w:rsidRPr="004E5DFD" w14:paraId="48E453FC" w14:textId="77777777" w:rsidTr="002C60AA">
        <w:trPr>
          <w:trHeight w:val="283"/>
          <w:jc w:val="center"/>
        </w:trPr>
        <w:tc>
          <w:tcPr>
            <w:tcW w:w="8720" w:type="dxa"/>
            <w:gridSpan w:val="2"/>
          </w:tcPr>
          <w:p w14:paraId="20B48879" w14:textId="77777777" w:rsidR="004E5DFD" w:rsidRPr="004E5DFD" w:rsidRDefault="004E5DFD" w:rsidP="004E5DFD">
            <w:pPr>
              <w:ind w:firstLine="0"/>
              <w:jc w:val="center"/>
              <w:rPr>
                <w:rFonts w:ascii="黑体" w:eastAsia="黑体" w:hAnsi="黑体"/>
                <w:sz w:val="24"/>
                <w:szCs w:val="24"/>
              </w:rPr>
            </w:pPr>
          </w:p>
        </w:tc>
      </w:tr>
      <w:tr w:rsidR="004E5DFD" w:rsidRPr="004E5DFD" w14:paraId="58B0C6FB" w14:textId="77777777" w:rsidTr="002C60AA">
        <w:trPr>
          <w:trHeight w:val="796"/>
          <w:jc w:val="center"/>
        </w:trPr>
        <w:tc>
          <w:tcPr>
            <w:tcW w:w="8720" w:type="dxa"/>
            <w:gridSpan w:val="2"/>
          </w:tcPr>
          <w:p w14:paraId="7A76D611" w14:textId="77777777" w:rsidR="004E5DFD" w:rsidRPr="004E5DFD" w:rsidRDefault="004E5DFD" w:rsidP="004E5DFD">
            <w:pPr>
              <w:widowControl/>
              <w:ind w:firstLine="0"/>
              <w:jc w:val="center"/>
              <w:rPr>
                <w:spacing w:val="4"/>
                <w:sz w:val="32"/>
                <w:szCs w:val="24"/>
              </w:rPr>
            </w:pPr>
            <w:r w:rsidRPr="004E5DFD">
              <w:rPr>
                <w:spacing w:val="4"/>
                <w:sz w:val="32"/>
                <w:szCs w:val="24"/>
              </w:rPr>
              <w:t>Dissertation Submitted to</w:t>
            </w:r>
          </w:p>
          <w:p w14:paraId="3BFF3D1E" w14:textId="77777777" w:rsidR="004E5DFD" w:rsidRPr="004E5DFD" w:rsidRDefault="004E5DFD" w:rsidP="004E5DFD">
            <w:pPr>
              <w:widowControl/>
              <w:ind w:firstLine="0"/>
              <w:jc w:val="center"/>
              <w:rPr>
                <w:b/>
                <w:spacing w:val="4"/>
                <w:sz w:val="32"/>
                <w:szCs w:val="24"/>
              </w:rPr>
            </w:pPr>
            <w:r w:rsidRPr="004E5DFD">
              <w:rPr>
                <w:b/>
                <w:spacing w:val="4"/>
                <w:sz w:val="32"/>
                <w:szCs w:val="24"/>
              </w:rPr>
              <w:t>Zhejiang University of Technology</w:t>
            </w:r>
          </w:p>
          <w:p w14:paraId="49D873F3" w14:textId="77777777" w:rsidR="004E5DFD" w:rsidRPr="004E5DFD" w:rsidRDefault="004E5DFD" w:rsidP="004E5DFD">
            <w:pPr>
              <w:widowControl/>
              <w:ind w:firstLine="0"/>
              <w:jc w:val="center"/>
              <w:rPr>
                <w:spacing w:val="4"/>
                <w:sz w:val="32"/>
                <w:szCs w:val="24"/>
              </w:rPr>
            </w:pPr>
            <w:r w:rsidRPr="004E5DFD">
              <w:rPr>
                <w:spacing w:val="4"/>
                <w:sz w:val="32"/>
                <w:szCs w:val="24"/>
              </w:rPr>
              <w:t>in partial fulfillment of the requirement</w:t>
            </w:r>
          </w:p>
          <w:p w14:paraId="0FE51922" w14:textId="77777777" w:rsidR="004E5DFD" w:rsidRPr="004E5DFD" w:rsidRDefault="004E5DFD" w:rsidP="004E5DFD">
            <w:pPr>
              <w:widowControl/>
              <w:ind w:firstLine="0"/>
              <w:jc w:val="center"/>
              <w:rPr>
                <w:spacing w:val="4"/>
                <w:sz w:val="32"/>
                <w:szCs w:val="24"/>
              </w:rPr>
            </w:pPr>
            <w:r w:rsidRPr="004E5DFD">
              <w:rPr>
                <w:spacing w:val="4"/>
                <w:sz w:val="32"/>
                <w:szCs w:val="24"/>
              </w:rPr>
              <w:t>for the degree of</w:t>
            </w:r>
          </w:p>
          <w:p w14:paraId="6301D762" w14:textId="6AA33C4E" w:rsidR="004E5DFD" w:rsidRPr="004E5DFD" w:rsidRDefault="006C5E45" w:rsidP="004E5DFD">
            <w:pPr>
              <w:widowControl/>
              <w:ind w:firstLine="0"/>
              <w:jc w:val="center"/>
              <w:rPr>
                <w:sz w:val="32"/>
                <w:szCs w:val="32"/>
              </w:rPr>
            </w:pPr>
            <w:r>
              <w:rPr>
                <w:b/>
                <w:spacing w:val="4"/>
                <w:sz w:val="32"/>
                <w:szCs w:val="24"/>
              </w:rPr>
              <w:t>Master</w:t>
            </w:r>
            <w:r w:rsidR="004E5DFD" w:rsidRPr="004E5DFD">
              <w:rPr>
                <w:b/>
                <w:spacing w:val="4"/>
                <w:sz w:val="32"/>
                <w:szCs w:val="24"/>
              </w:rPr>
              <w:t xml:space="preserve"> of </w:t>
            </w:r>
            <w:r>
              <w:rPr>
                <w:b/>
                <w:spacing w:val="4"/>
                <w:sz w:val="32"/>
                <w:szCs w:val="24"/>
              </w:rPr>
              <w:t>Law</w:t>
            </w:r>
          </w:p>
        </w:tc>
      </w:tr>
      <w:tr w:rsidR="004E5DFD" w:rsidRPr="004E5DFD" w14:paraId="5C08C631" w14:textId="77777777" w:rsidTr="002C60AA">
        <w:trPr>
          <w:trHeight w:val="1918"/>
          <w:jc w:val="center"/>
        </w:trPr>
        <w:tc>
          <w:tcPr>
            <w:tcW w:w="8720" w:type="dxa"/>
            <w:gridSpan w:val="2"/>
          </w:tcPr>
          <w:p w14:paraId="10CE791B" w14:textId="4D0FA8DE" w:rsidR="004E5DFD" w:rsidRPr="004E5DFD" w:rsidRDefault="000B22E1" w:rsidP="004E5DFD">
            <w:pPr>
              <w:ind w:firstLine="0"/>
              <w:jc w:val="center"/>
              <w:rPr>
                <w:rFonts w:hAnsi="宋体"/>
                <w:sz w:val="36"/>
                <w:szCs w:val="24"/>
              </w:rPr>
            </w:pPr>
            <w:r>
              <w:rPr>
                <w:noProof/>
                <w:szCs w:val="24"/>
              </w:rPr>
              <w:drawing>
                <wp:inline distT="0" distB="0" distL="0" distR="0" wp14:anchorId="5C890D60" wp14:editId="2DAFD1C8">
                  <wp:extent cx="1117600" cy="11176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r="2824"/>
                          <a:stretch>
                            <a:fillRect/>
                          </a:stretch>
                        </pic:blipFill>
                        <pic:spPr bwMode="auto">
                          <a:xfrm>
                            <a:off x="0" y="0"/>
                            <a:ext cx="1117600" cy="1117600"/>
                          </a:xfrm>
                          <a:prstGeom prst="rect">
                            <a:avLst/>
                          </a:prstGeom>
                          <a:noFill/>
                          <a:ln>
                            <a:noFill/>
                          </a:ln>
                        </pic:spPr>
                      </pic:pic>
                    </a:graphicData>
                  </a:graphic>
                </wp:inline>
              </w:drawing>
            </w:r>
          </w:p>
        </w:tc>
      </w:tr>
      <w:tr w:rsidR="004E5DFD" w:rsidRPr="004E5DFD" w14:paraId="79C1EE7B" w14:textId="77777777" w:rsidTr="002C60AA">
        <w:trPr>
          <w:trHeight w:val="902"/>
          <w:jc w:val="center"/>
        </w:trPr>
        <w:tc>
          <w:tcPr>
            <w:tcW w:w="8720" w:type="dxa"/>
            <w:gridSpan w:val="2"/>
          </w:tcPr>
          <w:p w14:paraId="57A82748" w14:textId="77777777" w:rsidR="004E5DFD" w:rsidRPr="004E5DFD" w:rsidRDefault="004E5DFD" w:rsidP="004E5DFD">
            <w:pPr>
              <w:widowControl/>
              <w:ind w:firstLine="0"/>
              <w:jc w:val="center"/>
              <w:rPr>
                <w:spacing w:val="4"/>
                <w:sz w:val="32"/>
                <w:szCs w:val="24"/>
              </w:rPr>
            </w:pPr>
            <w:r w:rsidRPr="004E5DFD">
              <w:rPr>
                <w:rFonts w:hint="eastAsia"/>
                <w:spacing w:val="4"/>
                <w:sz w:val="32"/>
                <w:szCs w:val="24"/>
              </w:rPr>
              <w:t>by</w:t>
            </w:r>
          </w:p>
          <w:p w14:paraId="68F7DB0E" w14:textId="292FD35C" w:rsidR="004E5DFD" w:rsidRPr="004E5DFD" w:rsidRDefault="006C5E45" w:rsidP="004E5DFD">
            <w:pPr>
              <w:ind w:firstLine="0"/>
              <w:jc w:val="center"/>
              <w:rPr>
                <w:rFonts w:eastAsia="黑体"/>
                <w:b/>
                <w:noProof/>
                <w:sz w:val="32"/>
                <w:szCs w:val="32"/>
              </w:rPr>
            </w:pPr>
            <w:r>
              <w:rPr>
                <w:rFonts w:eastAsia="黑体"/>
                <w:b/>
                <w:noProof/>
                <w:sz w:val="32"/>
                <w:szCs w:val="32"/>
              </w:rPr>
              <w:t>Yue</w:t>
            </w:r>
            <w:r w:rsidR="004E5DFD" w:rsidRPr="004E5DFD">
              <w:rPr>
                <w:rFonts w:eastAsia="黑体"/>
                <w:b/>
                <w:noProof/>
                <w:sz w:val="32"/>
                <w:szCs w:val="32"/>
              </w:rPr>
              <w:t xml:space="preserve"> </w:t>
            </w:r>
            <w:r>
              <w:rPr>
                <w:rFonts w:eastAsia="黑体"/>
                <w:b/>
                <w:noProof/>
                <w:sz w:val="32"/>
                <w:szCs w:val="32"/>
              </w:rPr>
              <w:t>Z</w:t>
            </w:r>
            <w:r w:rsidR="00054CC5">
              <w:rPr>
                <w:rFonts w:eastAsia="黑体"/>
                <w:b/>
                <w:noProof/>
                <w:sz w:val="32"/>
                <w:szCs w:val="32"/>
              </w:rPr>
              <w:t>HAO</w:t>
            </w:r>
          </w:p>
          <w:p w14:paraId="079BA97E" w14:textId="77777777" w:rsidR="004E5DFD" w:rsidRPr="004E5DFD" w:rsidRDefault="004E5DFD" w:rsidP="004E5DFD">
            <w:pPr>
              <w:spacing w:line="480" w:lineRule="exact"/>
              <w:ind w:firstLine="0"/>
              <w:jc w:val="center"/>
              <w:rPr>
                <w:rFonts w:ascii="Arial" w:eastAsia="黑体" w:hAnsi="Arial" w:cs="Arial"/>
                <w:noProof/>
                <w:sz w:val="32"/>
                <w:szCs w:val="32"/>
              </w:rPr>
            </w:pPr>
          </w:p>
        </w:tc>
      </w:tr>
      <w:tr w:rsidR="004E5DFD" w:rsidRPr="004E5DFD" w14:paraId="7F6ECEE2" w14:textId="77777777" w:rsidTr="002C60AA">
        <w:trPr>
          <w:trHeight w:val="660"/>
          <w:jc w:val="center"/>
        </w:trPr>
        <w:tc>
          <w:tcPr>
            <w:tcW w:w="4219" w:type="dxa"/>
          </w:tcPr>
          <w:p w14:paraId="1FE6EF3A" w14:textId="77777777" w:rsidR="004E5DFD" w:rsidRPr="004E5DFD" w:rsidRDefault="004E5DFD" w:rsidP="004E5DFD">
            <w:pPr>
              <w:widowControl/>
              <w:spacing w:line="240" w:lineRule="auto"/>
              <w:ind w:firstLine="0"/>
              <w:jc w:val="right"/>
              <w:rPr>
                <w:spacing w:val="4"/>
                <w:sz w:val="30"/>
                <w:szCs w:val="30"/>
              </w:rPr>
            </w:pPr>
            <w:r w:rsidRPr="004E5DFD">
              <w:rPr>
                <w:spacing w:val="4"/>
                <w:sz w:val="30"/>
                <w:szCs w:val="30"/>
              </w:rPr>
              <w:t>Dissertation Supervisor</w:t>
            </w:r>
            <w:r w:rsidRPr="004E5DFD">
              <w:rPr>
                <w:rFonts w:hint="eastAsia"/>
                <w:spacing w:val="4"/>
                <w:sz w:val="30"/>
                <w:szCs w:val="30"/>
              </w:rPr>
              <w:t>:</w:t>
            </w:r>
          </w:p>
        </w:tc>
        <w:tc>
          <w:tcPr>
            <w:tcW w:w="4501" w:type="dxa"/>
          </w:tcPr>
          <w:p w14:paraId="7974585D" w14:textId="32E25117" w:rsidR="004E5DFD" w:rsidRPr="004E5DFD" w:rsidRDefault="004E5DFD" w:rsidP="004E5DFD">
            <w:pPr>
              <w:widowControl/>
              <w:spacing w:line="240" w:lineRule="auto"/>
              <w:ind w:firstLine="0"/>
              <w:rPr>
                <w:spacing w:val="4"/>
                <w:sz w:val="30"/>
                <w:szCs w:val="30"/>
              </w:rPr>
            </w:pPr>
            <w:r w:rsidRPr="004E5DFD">
              <w:rPr>
                <w:spacing w:val="4"/>
                <w:sz w:val="30"/>
                <w:szCs w:val="30"/>
              </w:rPr>
              <w:t>Prof</w:t>
            </w:r>
            <w:r w:rsidRPr="004E5DFD">
              <w:rPr>
                <w:rFonts w:hint="eastAsia"/>
                <w:spacing w:val="4"/>
                <w:sz w:val="30"/>
                <w:szCs w:val="30"/>
              </w:rPr>
              <w:t>.</w:t>
            </w:r>
            <w:r w:rsidRPr="004E5DFD">
              <w:rPr>
                <w:spacing w:val="4"/>
                <w:sz w:val="30"/>
                <w:szCs w:val="30"/>
              </w:rPr>
              <w:t xml:space="preserve"> </w:t>
            </w:r>
            <w:r w:rsidR="006C5E45">
              <w:rPr>
                <w:spacing w:val="4"/>
                <w:sz w:val="30"/>
                <w:szCs w:val="30"/>
              </w:rPr>
              <w:t>Zhao-song</w:t>
            </w:r>
            <w:r w:rsidRPr="004E5DFD">
              <w:rPr>
                <w:rFonts w:hint="eastAsia"/>
                <w:spacing w:val="4"/>
                <w:sz w:val="30"/>
                <w:szCs w:val="30"/>
              </w:rPr>
              <w:t xml:space="preserve"> </w:t>
            </w:r>
            <w:r w:rsidR="006C5E45">
              <w:rPr>
                <w:spacing w:val="4"/>
                <w:sz w:val="30"/>
                <w:szCs w:val="30"/>
              </w:rPr>
              <w:t>Z</w:t>
            </w:r>
            <w:r w:rsidR="00054CC5">
              <w:rPr>
                <w:spacing w:val="4"/>
                <w:sz w:val="30"/>
                <w:szCs w:val="30"/>
              </w:rPr>
              <w:t>HANG</w:t>
            </w:r>
          </w:p>
        </w:tc>
      </w:tr>
      <w:tr w:rsidR="004E5DFD" w:rsidRPr="004E5DFD" w14:paraId="3942577C" w14:textId="77777777" w:rsidTr="002C60AA">
        <w:trPr>
          <w:trHeight w:val="640"/>
          <w:jc w:val="center"/>
        </w:trPr>
        <w:tc>
          <w:tcPr>
            <w:tcW w:w="4219" w:type="dxa"/>
          </w:tcPr>
          <w:p w14:paraId="5903B1E8" w14:textId="48D6BD69" w:rsidR="004E5DFD" w:rsidRPr="004E5DFD" w:rsidRDefault="004E5DFD" w:rsidP="004E5DFD">
            <w:pPr>
              <w:widowControl/>
              <w:spacing w:line="240" w:lineRule="auto"/>
              <w:ind w:firstLine="0"/>
              <w:jc w:val="right"/>
              <w:rPr>
                <w:spacing w:val="4"/>
                <w:sz w:val="30"/>
                <w:szCs w:val="30"/>
              </w:rPr>
            </w:pPr>
          </w:p>
        </w:tc>
        <w:tc>
          <w:tcPr>
            <w:tcW w:w="4501" w:type="dxa"/>
          </w:tcPr>
          <w:p w14:paraId="7DCCEA38" w14:textId="21D37907" w:rsidR="004E5DFD" w:rsidRPr="004E5DFD" w:rsidRDefault="004E5DFD" w:rsidP="004E5DFD">
            <w:pPr>
              <w:widowControl/>
              <w:spacing w:line="240" w:lineRule="auto"/>
              <w:ind w:firstLine="0"/>
              <w:rPr>
                <w:spacing w:val="4"/>
                <w:sz w:val="30"/>
                <w:szCs w:val="30"/>
              </w:rPr>
            </w:pPr>
          </w:p>
        </w:tc>
      </w:tr>
      <w:tr w:rsidR="004E5DFD" w:rsidRPr="004E5DFD" w14:paraId="79DD0883" w14:textId="77777777" w:rsidTr="002C60AA">
        <w:trPr>
          <w:trHeight w:val="1366"/>
          <w:jc w:val="center"/>
        </w:trPr>
        <w:tc>
          <w:tcPr>
            <w:tcW w:w="8720" w:type="dxa"/>
            <w:gridSpan w:val="2"/>
          </w:tcPr>
          <w:p w14:paraId="412314AD" w14:textId="61F4062D" w:rsidR="004E5DFD" w:rsidRPr="004E5DFD" w:rsidRDefault="004E5DFD" w:rsidP="007373B6">
            <w:pPr>
              <w:widowControl/>
              <w:spacing w:line="240" w:lineRule="auto"/>
              <w:ind w:firstLine="0"/>
              <w:rPr>
                <w:spacing w:val="4"/>
                <w:sz w:val="30"/>
                <w:szCs w:val="30"/>
              </w:rPr>
            </w:pPr>
          </w:p>
        </w:tc>
      </w:tr>
      <w:tr w:rsidR="004E5DFD" w:rsidRPr="004E5DFD" w14:paraId="209BE24F" w14:textId="77777777" w:rsidTr="002C60AA">
        <w:trPr>
          <w:trHeight w:val="640"/>
          <w:jc w:val="center"/>
        </w:trPr>
        <w:tc>
          <w:tcPr>
            <w:tcW w:w="8720" w:type="dxa"/>
            <w:gridSpan w:val="2"/>
          </w:tcPr>
          <w:p w14:paraId="2F9C775C" w14:textId="48411D24" w:rsidR="004E5DFD" w:rsidRPr="004E5DFD" w:rsidRDefault="00054CC5" w:rsidP="004E5DFD">
            <w:pPr>
              <w:widowControl/>
              <w:spacing w:line="240" w:lineRule="auto"/>
              <w:ind w:firstLine="0"/>
              <w:jc w:val="center"/>
              <w:rPr>
                <w:spacing w:val="4"/>
                <w:sz w:val="30"/>
                <w:szCs w:val="30"/>
              </w:rPr>
            </w:pPr>
            <w:r>
              <w:rPr>
                <w:spacing w:val="4"/>
                <w:sz w:val="30"/>
                <w:szCs w:val="30"/>
              </w:rPr>
              <w:t>J</w:t>
            </w:r>
            <w:r w:rsidR="00B55C66">
              <w:rPr>
                <w:rFonts w:hint="eastAsia"/>
                <w:spacing w:val="4"/>
                <w:sz w:val="30"/>
                <w:szCs w:val="30"/>
              </w:rPr>
              <w:t>un</w:t>
            </w:r>
            <w:r w:rsidR="00B55C66">
              <w:rPr>
                <w:spacing w:val="4"/>
                <w:sz w:val="30"/>
                <w:szCs w:val="30"/>
              </w:rPr>
              <w:t>.</w:t>
            </w:r>
            <w:r w:rsidR="004E5DFD" w:rsidRPr="004E5DFD">
              <w:rPr>
                <w:rFonts w:hint="eastAsia"/>
                <w:spacing w:val="4"/>
                <w:sz w:val="30"/>
                <w:szCs w:val="30"/>
              </w:rPr>
              <w:t xml:space="preserve">, </w:t>
            </w:r>
            <w:r w:rsidR="006C5E45">
              <w:rPr>
                <w:spacing w:val="4"/>
                <w:sz w:val="30"/>
                <w:szCs w:val="30"/>
              </w:rPr>
              <w:t>2020</w:t>
            </w:r>
          </w:p>
        </w:tc>
      </w:tr>
    </w:tbl>
    <w:p w14:paraId="1745BB08" w14:textId="3B591BEA" w:rsidR="004E5DFD" w:rsidRPr="004E5DFD" w:rsidRDefault="000B22E1" w:rsidP="007373B6">
      <w:pPr>
        <w:spacing w:beforeLines="100" w:before="312" w:afterLines="100" w:after="312"/>
        <w:ind w:firstLine="0"/>
        <w:rPr>
          <w:sz w:val="32"/>
          <w:szCs w:val="32"/>
        </w:rPr>
      </w:pPr>
      <w:r>
        <w:rPr>
          <w:noProof/>
          <w:sz w:val="32"/>
          <w:szCs w:val="32"/>
        </w:rPr>
        <w:lastRenderedPageBreak/>
        <mc:AlternateContent>
          <mc:Choice Requires="wps">
            <w:drawing>
              <wp:anchor distT="0" distB="0" distL="114300" distR="114300" simplePos="0" relativeHeight="251657216" behindDoc="0" locked="0" layoutInCell="1" allowOverlap="1" wp14:anchorId="1AFA5406" wp14:editId="25E08CD1">
                <wp:simplePos x="0" y="0"/>
                <wp:positionH relativeFrom="column">
                  <wp:posOffset>774065</wp:posOffset>
                </wp:positionH>
                <wp:positionV relativeFrom="paragraph">
                  <wp:posOffset>7951470</wp:posOffset>
                </wp:positionV>
                <wp:extent cx="3162300" cy="762000"/>
                <wp:effectExtent l="0" t="1270" r="13335" b="11430"/>
                <wp:wrapNone/>
                <wp:docPr id="11"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762000"/>
                        </a:xfrm>
                        <a:prstGeom prst="rect">
                          <a:avLst/>
                        </a:prstGeom>
                        <a:solidFill>
                          <a:srgbClr val="FFFFFF"/>
                        </a:solidFill>
                        <a:ln w="9525">
                          <a:solidFill>
                            <a:srgbClr val="FFFFFF"/>
                          </a:solidFill>
                          <a:miter lim="800000"/>
                          <a:headEnd/>
                          <a:tailEnd/>
                        </a:ln>
                      </wps:spPr>
                      <wps:txbx>
                        <w:txbxContent>
                          <w:p w14:paraId="30DA5749" w14:textId="77777777" w:rsidR="002513C6" w:rsidRDefault="002513C6" w:rsidP="004E5DFD"/>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FA5406" id="_x0000_t202" coordsize="21600,21600" o:spt="202" path="m,l,21600r21600,l21600,xe">
                <v:stroke joinstyle="miter"/>
                <v:path gradientshapeok="t" o:connecttype="rect"/>
              </v:shapetype>
              <v:shape id="Text Box 59" o:spid="_x0000_s1026" type="#_x0000_t202" style="position:absolute;left:0;text-align:left;margin-left:60.95pt;margin-top:626.1pt;width:249pt;height:6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" strokecolor="white">
                <v:textbox inset="0,1mm,0,0">
                  <w:txbxContent>
                    <w:p w14:paraId="30DA5749" w14:textId="77777777" w:rsidR="002513C6" w:rsidRDefault="002513C6" w:rsidP="004E5DFD"/>
                  </w:txbxContent>
                </v:textbox>
              </v:shape>
            </w:pict>
          </mc:Fallback>
        </mc:AlternateContent>
      </w:r>
    </w:p>
    <w:p w14:paraId="6924DC93" w14:textId="77777777" w:rsidR="004E5DFD" w:rsidRPr="004E5DFD" w:rsidRDefault="004E5DFD" w:rsidP="004E5DFD">
      <w:pPr>
        <w:spacing w:beforeLines="100" w:before="312" w:afterLines="100" w:after="312"/>
        <w:ind w:firstLine="0"/>
        <w:jc w:val="center"/>
        <w:rPr>
          <w:rFonts w:eastAsia="黑体"/>
          <w:b/>
          <w:sz w:val="32"/>
          <w:szCs w:val="32"/>
        </w:rPr>
      </w:pPr>
      <w:r w:rsidRPr="004E5DFD">
        <w:rPr>
          <w:rFonts w:eastAsia="黑体" w:hint="eastAsia"/>
          <w:b/>
          <w:sz w:val="32"/>
          <w:szCs w:val="32"/>
        </w:rPr>
        <w:t>浙江工业大学学位论文原创性声明</w:t>
      </w:r>
    </w:p>
    <w:p w14:paraId="462ED5DC" w14:textId="77777777" w:rsidR="004E5DFD" w:rsidRPr="004E5DFD" w:rsidRDefault="004E5DFD" w:rsidP="004E5DFD">
      <w:pPr>
        <w:ind w:firstLine="482"/>
        <w:rPr>
          <w:sz w:val="24"/>
          <w:szCs w:val="24"/>
        </w:rPr>
      </w:pPr>
      <w:r w:rsidRPr="004E5DFD">
        <w:rPr>
          <w:rFonts w:hint="eastAsia"/>
          <w:sz w:val="24"/>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浙江工业大学或其它教育机构的学位证书而使用过的材料。对本文的研究作出重要贡献的个人和集体，均已在文中以明确方式标明。本人承担本声明的法律责任。</w:t>
      </w:r>
    </w:p>
    <w:p w14:paraId="0DCF2654" w14:textId="77777777" w:rsidR="004E5DFD" w:rsidRPr="004E5DFD" w:rsidRDefault="004E5DFD" w:rsidP="004E5DFD">
      <w:pPr>
        <w:ind w:firstLine="482"/>
        <w:rPr>
          <w:sz w:val="24"/>
          <w:szCs w:val="24"/>
        </w:rPr>
      </w:pPr>
      <w:r w:rsidRPr="004E5DFD">
        <w:rPr>
          <w:rFonts w:hint="eastAsia"/>
          <w:sz w:val="24"/>
          <w:szCs w:val="24"/>
        </w:rPr>
        <w:t>作者签名：</w:t>
      </w:r>
      <w:r w:rsidRPr="004E5DFD">
        <w:rPr>
          <w:rFonts w:hint="eastAsia"/>
          <w:sz w:val="24"/>
          <w:szCs w:val="24"/>
        </w:rPr>
        <w:tab/>
      </w:r>
      <w:r w:rsidRPr="004E5DFD">
        <w:rPr>
          <w:rFonts w:hint="eastAsia"/>
          <w:sz w:val="24"/>
          <w:szCs w:val="24"/>
        </w:rPr>
        <w:tab/>
      </w:r>
      <w:r w:rsidRPr="004E5DFD">
        <w:rPr>
          <w:rFonts w:hint="eastAsia"/>
          <w:sz w:val="24"/>
          <w:szCs w:val="24"/>
        </w:rPr>
        <w:tab/>
      </w:r>
      <w:r w:rsidRPr="004E5DFD">
        <w:rPr>
          <w:rFonts w:hint="eastAsia"/>
          <w:sz w:val="24"/>
          <w:szCs w:val="24"/>
        </w:rPr>
        <w:tab/>
      </w:r>
      <w:r w:rsidRPr="004E5DFD">
        <w:rPr>
          <w:rFonts w:hint="eastAsia"/>
          <w:sz w:val="24"/>
          <w:szCs w:val="24"/>
        </w:rPr>
        <w:tab/>
      </w:r>
      <w:r w:rsidRPr="004E5DFD">
        <w:rPr>
          <w:rFonts w:hint="eastAsia"/>
          <w:sz w:val="24"/>
          <w:szCs w:val="24"/>
        </w:rPr>
        <w:tab/>
        <w:t xml:space="preserve">     </w:t>
      </w:r>
      <w:r w:rsidRPr="004E5DFD">
        <w:rPr>
          <w:rFonts w:hint="eastAsia"/>
          <w:sz w:val="24"/>
          <w:szCs w:val="24"/>
        </w:rPr>
        <w:t>日期：</w:t>
      </w:r>
      <w:r w:rsidRPr="004E5DFD">
        <w:rPr>
          <w:rFonts w:hint="eastAsia"/>
          <w:sz w:val="24"/>
          <w:szCs w:val="24"/>
        </w:rPr>
        <w:t xml:space="preserve">   </w:t>
      </w:r>
      <w:r w:rsidRPr="004E5DFD">
        <w:rPr>
          <w:rFonts w:hint="eastAsia"/>
          <w:sz w:val="24"/>
          <w:szCs w:val="24"/>
        </w:rPr>
        <w:t>年</w:t>
      </w:r>
      <w:r w:rsidRPr="004E5DFD">
        <w:rPr>
          <w:rFonts w:hint="eastAsia"/>
          <w:sz w:val="24"/>
          <w:szCs w:val="24"/>
        </w:rPr>
        <w:t xml:space="preserve">    </w:t>
      </w:r>
      <w:r w:rsidRPr="004E5DFD">
        <w:rPr>
          <w:rFonts w:hint="eastAsia"/>
          <w:sz w:val="24"/>
          <w:szCs w:val="24"/>
        </w:rPr>
        <w:t>月</w:t>
      </w:r>
    </w:p>
    <w:p w14:paraId="5EFE09FA" w14:textId="77777777" w:rsidR="004E5DFD" w:rsidRPr="004E5DFD" w:rsidRDefault="004E5DFD" w:rsidP="004E5DFD">
      <w:pPr>
        <w:ind w:firstLine="482"/>
        <w:rPr>
          <w:sz w:val="24"/>
          <w:szCs w:val="24"/>
        </w:rPr>
      </w:pPr>
    </w:p>
    <w:p w14:paraId="52D1B521" w14:textId="77777777" w:rsidR="004E5DFD" w:rsidRPr="004E5DFD" w:rsidRDefault="004E5DFD" w:rsidP="004E5DFD">
      <w:pPr>
        <w:ind w:firstLine="482"/>
        <w:rPr>
          <w:sz w:val="24"/>
          <w:szCs w:val="24"/>
        </w:rPr>
      </w:pPr>
    </w:p>
    <w:p w14:paraId="521E8FC0" w14:textId="77777777" w:rsidR="004E5DFD" w:rsidRPr="004E5DFD" w:rsidRDefault="004E5DFD" w:rsidP="004E5DFD">
      <w:pPr>
        <w:spacing w:beforeLines="100" w:before="312" w:afterLines="100" w:after="312"/>
        <w:ind w:firstLine="0"/>
        <w:jc w:val="center"/>
        <w:rPr>
          <w:rFonts w:eastAsia="黑体"/>
          <w:b/>
          <w:sz w:val="32"/>
          <w:szCs w:val="32"/>
        </w:rPr>
      </w:pPr>
      <w:r w:rsidRPr="004E5DFD">
        <w:rPr>
          <w:rFonts w:eastAsia="黑体" w:hint="eastAsia"/>
          <w:b/>
          <w:sz w:val="32"/>
          <w:szCs w:val="32"/>
        </w:rPr>
        <w:t>学位论文版权使用授权书</w:t>
      </w:r>
    </w:p>
    <w:p w14:paraId="797D8DA4" w14:textId="77777777" w:rsidR="004E5DFD" w:rsidRPr="004E5DFD" w:rsidRDefault="004E5DFD" w:rsidP="004E5DFD">
      <w:pPr>
        <w:ind w:firstLine="480"/>
        <w:rPr>
          <w:rFonts w:ascii="宋体" w:hAnsi="宋体"/>
          <w:sz w:val="24"/>
          <w:szCs w:val="24"/>
        </w:rPr>
      </w:pPr>
      <w:r w:rsidRPr="004E5DFD">
        <w:rPr>
          <w:rFonts w:ascii="宋体" w:hAnsi="宋体" w:hint="eastAsia"/>
          <w:sz w:val="24"/>
          <w:szCs w:val="24"/>
        </w:rPr>
        <w:t>本学位论文作者完全了解学校有关保留、使用学位论文的规定，同意学校保留并向国家有关部门或机构送交论文的复印件和电子版，允许论文被查阅和借阅。本人授权浙江工业大学可以将本学位论文的全部或部分内容编入有关数据库进行检索，可以采用影印、缩印或扫描等复制手段保存和汇编本学位论文。</w:t>
      </w:r>
    </w:p>
    <w:p w14:paraId="60AFC510" w14:textId="77777777" w:rsidR="004E5DFD" w:rsidRPr="004E5DFD" w:rsidRDefault="004E5DFD" w:rsidP="004E5DFD">
      <w:pPr>
        <w:ind w:firstLine="480"/>
        <w:rPr>
          <w:rFonts w:ascii="宋体" w:hAnsi="宋体"/>
          <w:sz w:val="24"/>
          <w:szCs w:val="24"/>
        </w:rPr>
      </w:pPr>
      <w:r w:rsidRPr="004E5DFD">
        <w:rPr>
          <w:rFonts w:ascii="宋体" w:hAnsi="宋体" w:hint="eastAsia"/>
          <w:sz w:val="24"/>
          <w:szCs w:val="24"/>
        </w:rPr>
        <w:t>本学位论文属于： 1、保密□，在一年解密后适用本授权书。</w:t>
      </w:r>
    </w:p>
    <w:p w14:paraId="5227D3A6" w14:textId="77777777" w:rsidR="004E5DFD" w:rsidRPr="004E5DFD" w:rsidRDefault="004E5DFD" w:rsidP="004E5DFD">
      <w:pPr>
        <w:ind w:firstLineChars="1050" w:firstLine="2520"/>
        <w:rPr>
          <w:rFonts w:ascii="宋体" w:hAnsi="宋体"/>
          <w:sz w:val="24"/>
          <w:szCs w:val="24"/>
        </w:rPr>
      </w:pPr>
      <w:r w:rsidRPr="004E5DFD">
        <w:rPr>
          <w:rFonts w:ascii="宋体" w:hAnsi="宋体" w:hint="eastAsia"/>
          <w:sz w:val="24"/>
          <w:szCs w:val="24"/>
        </w:rPr>
        <w:t>2、保密□，在二年解密后适用本授权书。</w:t>
      </w:r>
    </w:p>
    <w:p w14:paraId="5CEF632A" w14:textId="77777777" w:rsidR="004E5DFD" w:rsidRPr="004E5DFD" w:rsidRDefault="004E5DFD" w:rsidP="004E5DFD">
      <w:pPr>
        <w:ind w:firstLineChars="1050" w:firstLine="2520"/>
        <w:rPr>
          <w:rFonts w:ascii="宋体" w:hAnsi="宋体"/>
          <w:sz w:val="24"/>
          <w:szCs w:val="24"/>
        </w:rPr>
      </w:pPr>
      <w:r w:rsidRPr="004E5DFD">
        <w:rPr>
          <w:rFonts w:ascii="宋体" w:hAnsi="宋体" w:hint="eastAsia"/>
          <w:sz w:val="24"/>
          <w:szCs w:val="24"/>
        </w:rPr>
        <w:t>3、保密□，在三年解密后适用本授权书。</w:t>
      </w:r>
    </w:p>
    <w:p w14:paraId="66BC369F" w14:textId="77777777" w:rsidR="004E5DFD" w:rsidRPr="004E5DFD" w:rsidRDefault="004E5DFD" w:rsidP="004E5DFD">
      <w:pPr>
        <w:ind w:firstLineChars="1050" w:firstLine="2520"/>
        <w:rPr>
          <w:rFonts w:ascii="宋体" w:hAnsi="宋体"/>
          <w:sz w:val="24"/>
          <w:szCs w:val="24"/>
        </w:rPr>
      </w:pPr>
      <w:r w:rsidRPr="004E5DFD">
        <w:rPr>
          <w:rFonts w:ascii="宋体" w:hAnsi="宋体" w:hint="eastAsia"/>
          <w:sz w:val="24"/>
          <w:szCs w:val="24"/>
        </w:rPr>
        <w:t>4、不保密□。</w:t>
      </w:r>
    </w:p>
    <w:p w14:paraId="5D884EF9" w14:textId="77777777" w:rsidR="004E5DFD" w:rsidRPr="004E5DFD" w:rsidRDefault="004E5DFD" w:rsidP="004E5DFD">
      <w:pPr>
        <w:ind w:firstLineChars="982" w:firstLine="2357"/>
        <w:rPr>
          <w:rFonts w:ascii="宋体" w:hAnsi="宋体"/>
          <w:sz w:val="24"/>
          <w:szCs w:val="24"/>
        </w:rPr>
      </w:pPr>
      <w:r w:rsidRPr="004E5DFD">
        <w:rPr>
          <w:rFonts w:ascii="宋体" w:hAnsi="宋体" w:hint="eastAsia"/>
          <w:sz w:val="24"/>
          <w:szCs w:val="24"/>
        </w:rPr>
        <w:t>（请在以上相应方框内打“√”）</w:t>
      </w:r>
    </w:p>
    <w:p w14:paraId="514A7ECC" w14:textId="77777777" w:rsidR="004E5DFD" w:rsidRPr="004E5DFD" w:rsidRDefault="004E5DFD" w:rsidP="004E5DFD">
      <w:pPr>
        <w:ind w:firstLine="480"/>
        <w:rPr>
          <w:rFonts w:ascii="宋体" w:hAnsi="宋体"/>
          <w:sz w:val="24"/>
          <w:szCs w:val="24"/>
        </w:rPr>
      </w:pPr>
      <w:r w:rsidRPr="004E5DFD">
        <w:rPr>
          <w:rFonts w:ascii="宋体" w:hAnsi="宋体" w:hint="eastAsia"/>
          <w:sz w:val="24"/>
          <w:szCs w:val="24"/>
        </w:rPr>
        <w:t>作者签名：</w:t>
      </w:r>
      <w:r w:rsidRPr="004E5DFD">
        <w:rPr>
          <w:rFonts w:ascii="宋体" w:hAnsi="宋体" w:hint="eastAsia"/>
          <w:sz w:val="24"/>
          <w:szCs w:val="24"/>
        </w:rPr>
        <w:tab/>
      </w:r>
      <w:r w:rsidRPr="004E5DFD">
        <w:rPr>
          <w:rFonts w:ascii="宋体" w:hAnsi="宋体" w:hint="eastAsia"/>
          <w:sz w:val="24"/>
          <w:szCs w:val="24"/>
        </w:rPr>
        <w:tab/>
      </w:r>
      <w:r w:rsidRPr="004E5DFD">
        <w:rPr>
          <w:rFonts w:ascii="宋体" w:hAnsi="宋体" w:hint="eastAsia"/>
          <w:sz w:val="24"/>
          <w:szCs w:val="24"/>
        </w:rPr>
        <w:tab/>
      </w:r>
      <w:r w:rsidRPr="004E5DFD">
        <w:rPr>
          <w:rFonts w:ascii="宋体" w:hAnsi="宋体" w:hint="eastAsia"/>
          <w:sz w:val="24"/>
          <w:szCs w:val="24"/>
        </w:rPr>
        <w:tab/>
      </w:r>
      <w:r w:rsidRPr="004E5DFD">
        <w:rPr>
          <w:rFonts w:ascii="宋体" w:hAnsi="宋体" w:hint="eastAsia"/>
          <w:sz w:val="24"/>
          <w:szCs w:val="24"/>
        </w:rPr>
        <w:tab/>
        <w:t xml:space="preserve">        日期：   年    月</w:t>
      </w:r>
    </w:p>
    <w:p w14:paraId="31EF37DE" w14:textId="77777777" w:rsidR="004E5DFD" w:rsidRPr="004E5DFD" w:rsidRDefault="004E5DFD" w:rsidP="004E5DFD">
      <w:pPr>
        <w:ind w:firstLine="480"/>
        <w:rPr>
          <w:rFonts w:ascii="宋体" w:hAnsi="宋体"/>
          <w:sz w:val="24"/>
          <w:szCs w:val="24"/>
        </w:rPr>
      </w:pPr>
      <w:r w:rsidRPr="004E5DFD">
        <w:rPr>
          <w:rFonts w:ascii="宋体" w:hAnsi="宋体" w:hint="eastAsia"/>
          <w:sz w:val="24"/>
          <w:szCs w:val="24"/>
        </w:rPr>
        <w:t>导师签名：</w:t>
      </w:r>
      <w:r w:rsidRPr="004E5DFD">
        <w:rPr>
          <w:rFonts w:ascii="宋体" w:hAnsi="宋体" w:hint="eastAsia"/>
          <w:sz w:val="24"/>
          <w:szCs w:val="24"/>
        </w:rPr>
        <w:tab/>
      </w:r>
      <w:r w:rsidRPr="004E5DFD">
        <w:rPr>
          <w:rFonts w:ascii="宋体" w:hAnsi="宋体" w:hint="eastAsia"/>
          <w:sz w:val="24"/>
          <w:szCs w:val="24"/>
        </w:rPr>
        <w:tab/>
      </w:r>
      <w:r w:rsidRPr="004E5DFD">
        <w:rPr>
          <w:rFonts w:ascii="宋体" w:hAnsi="宋体" w:hint="eastAsia"/>
          <w:sz w:val="24"/>
          <w:szCs w:val="24"/>
        </w:rPr>
        <w:tab/>
      </w:r>
      <w:r w:rsidRPr="004E5DFD">
        <w:rPr>
          <w:rFonts w:ascii="宋体" w:hAnsi="宋体" w:hint="eastAsia"/>
          <w:sz w:val="24"/>
          <w:szCs w:val="24"/>
        </w:rPr>
        <w:tab/>
      </w:r>
      <w:r w:rsidRPr="004E5DFD">
        <w:rPr>
          <w:rFonts w:ascii="宋体" w:hAnsi="宋体" w:hint="eastAsia"/>
          <w:sz w:val="24"/>
          <w:szCs w:val="24"/>
        </w:rPr>
        <w:tab/>
        <w:t xml:space="preserve">        日期：   年    月</w:t>
      </w:r>
    </w:p>
    <w:p w14:paraId="413F1EBC" w14:textId="77777777" w:rsidR="004E5DFD" w:rsidRPr="004E5DFD" w:rsidRDefault="004E5DFD" w:rsidP="004E5DFD">
      <w:pPr>
        <w:spacing w:line="480" w:lineRule="exact"/>
        <w:ind w:firstLine="0"/>
        <w:rPr>
          <w:sz w:val="26"/>
          <w:szCs w:val="24"/>
        </w:rPr>
        <w:sectPr w:rsidR="004E5DFD" w:rsidRPr="004E5DFD" w:rsidSect="004E5DFD">
          <w:footerReference w:type="default" r:id="rId10"/>
          <w:pgSz w:w="11906" w:h="16838"/>
          <w:pgMar w:top="1418" w:right="1701" w:bottom="1418" w:left="1701" w:header="851" w:footer="992" w:gutter="0"/>
          <w:pgNumType w:fmt="upperRoman" w:start="1"/>
          <w:cols w:space="425"/>
          <w:titlePg/>
          <w:docGrid w:type="lines" w:linePitch="312"/>
        </w:sectPr>
      </w:pPr>
    </w:p>
    <w:p w14:paraId="2D8AD908" w14:textId="1CC89BC7" w:rsidR="004E5DFD" w:rsidRPr="004E5DFD" w:rsidRDefault="004E5DFD" w:rsidP="00D57D4F">
      <w:pPr>
        <w:snapToGrid w:val="0"/>
        <w:spacing w:line="240" w:lineRule="auto"/>
        <w:ind w:firstLine="0"/>
        <w:jc w:val="center"/>
        <w:rPr>
          <w:b/>
          <w:sz w:val="15"/>
          <w:szCs w:val="24"/>
          <w:u w:val="single"/>
        </w:rPr>
      </w:pP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276"/>
        <w:gridCol w:w="2976"/>
        <w:gridCol w:w="1093"/>
        <w:gridCol w:w="1637"/>
      </w:tblGrid>
      <w:tr w:rsidR="004E5DFD" w:rsidRPr="004E5DFD" w14:paraId="76C42059" w14:textId="77777777" w:rsidTr="002C60AA">
        <w:trPr>
          <w:trHeight w:val="454"/>
          <w:jc w:val="center"/>
        </w:trPr>
        <w:tc>
          <w:tcPr>
            <w:tcW w:w="1421" w:type="dxa"/>
            <w:tcBorders>
              <w:top w:val="nil"/>
              <w:left w:val="nil"/>
              <w:bottom w:val="nil"/>
              <w:right w:val="nil"/>
            </w:tcBorders>
            <w:shd w:val="clear" w:color="auto" w:fill="auto"/>
          </w:tcPr>
          <w:p w14:paraId="42B4CD5D" w14:textId="77777777" w:rsidR="004E5DFD" w:rsidRPr="004E5DFD" w:rsidRDefault="004E5DFD" w:rsidP="00D57D4F">
            <w:pPr>
              <w:snapToGrid w:val="0"/>
              <w:spacing w:line="240" w:lineRule="auto"/>
              <w:ind w:firstLine="0"/>
              <w:jc w:val="right"/>
              <w:rPr>
                <w:b/>
                <w:szCs w:val="24"/>
              </w:rPr>
            </w:pPr>
            <w:r w:rsidRPr="004E5DFD">
              <w:rPr>
                <w:rFonts w:hAnsi="宋体"/>
                <w:szCs w:val="24"/>
              </w:rPr>
              <w:t>中图分类号</w:t>
            </w:r>
          </w:p>
        </w:tc>
        <w:tc>
          <w:tcPr>
            <w:tcW w:w="1276" w:type="dxa"/>
            <w:tcBorders>
              <w:top w:val="nil"/>
              <w:left w:val="nil"/>
              <w:bottom w:val="nil"/>
              <w:right w:val="nil"/>
            </w:tcBorders>
            <w:shd w:val="clear" w:color="auto" w:fill="auto"/>
          </w:tcPr>
          <w:p w14:paraId="2D37513D" w14:textId="03AC9495" w:rsidR="004E5DFD" w:rsidRPr="004E5DFD" w:rsidRDefault="00562981" w:rsidP="00D57D4F">
            <w:pPr>
              <w:snapToGrid w:val="0"/>
              <w:spacing w:line="240" w:lineRule="auto"/>
              <w:ind w:firstLine="0"/>
              <w:rPr>
                <w:rFonts w:hAnsi="宋体"/>
                <w:szCs w:val="24"/>
              </w:rPr>
            </w:pPr>
            <w:r>
              <w:rPr>
                <w:rFonts w:hAnsi="宋体"/>
                <w:szCs w:val="24"/>
              </w:rPr>
              <w:t>D</w:t>
            </w:r>
            <w:r>
              <w:rPr>
                <w:rFonts w:hAnsi="宋体" w:hint="eastAsia"/>
                <w:szCs w:val="24"/>
              </w:rPr>
              <w:t>915.3</w:t>
            </w:r>
          </w:p>
        </w:tc>
        <w:tc>
          <w:tcPr>
            <w:tcW w:w="2976" w:type="dxa"/>
            <w:tcBorders>
              <w:top w:val="nil"/>
              <w:left w:val="nil"/>
              <w:bottom w:val="nil"/>
              <w:right w:val="nil"/>
            </w:tcBorders>
            <w:shd w:val="clear" w:color="auto" w:fill="auto"/>
          </w:tcPr>
          <w:p w14:paraId="3E344C94" w14:textId="77777777" w:rsidR="004E5DFD" w:rsidRPr="004E5DFD" w:rsidRDefault="004E5DFD" w:rsidP="00D57D4F">
            <w:pPr>
              <w:snapToGrid w:val="0"/>
              <w:spacing w:line="240" w:lineRule="auto"/>
              <w:ind w:firstLine="0"/>
              <w:jc w:val="center"/>
              <w:rPr>
                <w:rFonts w:hAnsi="宋体"/>
                <w:szCs w:val="24"/>
              </w:rPr>
            </w:pPr>
          </w:p>
        </w:tc>
        <w:tc>
          <w:tcPr>
            <w:tcW w:w="1093" w:type="dxa"/>
            <w:tcBorders>
              <w:top w:val="nil"/>
              <w:left w:val="nil"/>
              <w:bottom w:val="nil"/>
              <w:right w:val="nil"/>
            </w:tcBorders>
            <w:shd w:val="clear" w:color="auto" w:fill="auto"/>
          </w:tcPr>
          <w:p w14:paraId="776AA52D" w14:textId="77777777" w:rsidR="004E5DFD" w:rsidRPr="004E5DFD" w:rsidRDefault="004E5DFD" w:rsidP="00D57D4F">
            <w:pPr>
              <w:snapToGrid w:val="0"/>
              <w:spacing w:line="240" w:lineRule="auto"/>
              <w:ind w:firstLine="0"/>
              <w:jc w:val="right"/>
              <w:rPr>
                <w:rFonts w:hAnsi="宋体"/>
                <w:szCs w:val="24"/>
              </w:rPr>
            </w:pPr>
            <w:r w:rsidRPr="004E5DFD">
              <w:rPr>
                <w:rFonts w:hAnsi="宋体"/>
                <w:szCs w:val="24"/>
              </w:rPr>
              <w:t>学校代码</w:t>
            </w:r>
          </w:p>
        </w:tc>
        <w:tc>
          <w:tcPr>
            <w:tcW w:w="1637" w:type="dxa"/>
            <w:tcBorders>
              <w:top w:val="nil"/>
              <w:left w:val="nil"/>
              <w:bottom w:val="nil"/>
              <w:right w:val="nil"/>
            </w:tcBorders>
            <w:shd w:val="clear" w:color="auto" w:fill="auto"/>
          </w:tcPr>
          <w:p w14:paraId="514FA044" w14:textId="77777777" w:rsidR="004E5DFD" w:rsidRPr="004E5DFD" w:rsidRDefault="004E5DFD" w:rsidP="00D57D4F">
            <w:pPr>
              <w:snapToGrid w:val="0"/>
              <w:spacing w:line="240" w:lineRule="auto"/>
              <w:ind w:firstLine="0"/>
              <w:rPr>
                <w:rFonts w:hAnsi="宋体"/>
                <w:szCs w:val="24"/>
              </w:rPr>
            </w:pPr>
            <w:r w:rsidRPr="004E5DFD">
              <w:rPr>
                <w:rFonts w:hAnsi="宋体" w:hint="eastAsia"/>
                <w:szCs w:val="24"/>
              </w:rPr>
              <w:t>10337</w:t>
            </w:r>
          </w:p>
        </w:tc>
      </w:tr>
      <w:tr w:rsidR="004E5DFD" w:rsidRPr="004E5DFD" w14:paraId="2FFEB98E" w14:textId="77777777" w:rsidTr="002C60AA">
        <w:trPr>
          <w:trHeight w:val="454"/>
          <w:jc w:val="center"/>
        </w:trPr>
        <w:tc>
          <w:tcPr>
            <w:tcW w:w="1421" w:type="dxa"/>
            <w:tcBorders>
              <w:top w:val="nil"/>
              <w:left w:val="nil"/>
              <w:bottom w:val="nil"/>
              <w:right w:val="nil"/>
            </w:tcBorders>
          </w:tcPr>
          <w:p w14:paraId="5D19F9C1" w14:textId="77777777" w:rsidR="004E5DFD" w:rsidRPr="004E5DFD" w:rsidRDefault="004E5DFD" w:rsidP="00D57D4F">
            <w:pPr>
              <w:snapToGrid w:val="0"/>
              <w:spacing w:line="240" w:lineRule="auto"/>
              <w:ind w:firstLine="0"/>
              <w:jc w:val="right"/>
              <w:rPr>
                <w:szCs w:val="24"/>
              </w:rPr>
            </w:pPr>
            <w:r w:rsidRPr="004E5DFD">
              <w:rPr>
                <w:szCs w:val="24"/>
              </w:rPr>
              <w:t>UDC</w:t>
            </w:r>
          </w:p>
        </w:tc>
        <w:tc>
          <w:tcPr>
            <w:tcW w:w="1276" w:type="dxa"/>
            <w:tcBorders>
              <w:top w:val="nil"/>
              <w:left w:val="nil"/>
              <w:bottom w:val="nil"/>
              <w:right w:val="nil"/>
            </w:tcBorders>
          </w:tcPr>
          <w:p w14:paraId="488F5208" w14:textId="46A6DE40" w:rsidR="004E5DFD" w:rsidRPr="004E5DFD" w:rsidRDefault="00562981" w:rsidP="00D57D4F">
            <w:pPr>
              <w:snapToGrid w:val="0"/>
              <w:spacing w:line="240" w:lineRule="auto"/>
              <w:ind w:firstLine="0"/>
              <w:rPr>
                <w:rFonts w:hAnsi="宋体"/>
                <w:szCs w:val="24"/>
              </w:rPr>
            </w:pPr>
            <w:r>
              <w:rPr>
                <w:rFonts w:hAnsi="宋体" w:hint="eastAsia"/>
                <w:szCs w:val="24"/>
              </w:rPr>
              <w:t>343.1</w:t>
            </w:r>
          </w:p>
        </w:tc>
        <w:tc>
          <w:tcPr>
            <w:tcW w:w="2976" w:type="dxa"/>
            <w:tcBorders>
              <w:top w:val="nil"/>
              <w:left w:val="nil"/>
              <w:bottom w:val="nil"/>
              <w:right w:val="nil"/>
            </w:tcBorders>
          </w:tcPr>
          <w:p w14:paraId="3D4ACC7B" w14:textId="77777777" w:rsidR="004E5DFD" w:rsidRPr="004E5DFD" w:rsidRDefault="004E5DFD" w:rsidP="00D57D4F">
            <w:pPr>
              <w:snapToGrid w:val="0"/>
              <w:spacing w:line="240" w:lineRule="auto"/>
              <w:ind w:firstLine="0"/>
              <w:jc w:val="center"/>
              <w:rPr>
                <w:rFonts w:hAnsi="宋体"/>
                <w:szCs w:val="24"/>
              </w:rPr>
            </w:pPr>
          </w:p>
        </w:tc>
        <w:tc>
          <w:tcPr>
            <w:tcW w:w="1093" w:type="dxa"/>
            <w:tcBorders>
              <w:top w:val="nil"/>
              <w:left w:val="nil"/>
              <w:bottom w:val="nil"/>
              <w:right w:val="nil"/>
            </w:tcBorders>
            <w:shd w:val="clear" w:color="auto" w:fill="auto"/>
          </w:tcPr>
          <w:p w14:paraId="799360C6" w14:textId="77777777" w:rsidR="004E5DFD" w:rsidRPr="004E5DFD" w:rsidRDefault="004E5DFD" w:rsidP="00D57D4F">
            <w:pPr>
              <w:snapToGrid w:val="0"/>
              <w:spacing w:line="240" w:lineRule="auto"/>
              <w:ind w:firstLine="0"/>
              <w:jc w:val="right"/>
              <w:rPr>
                <w:rFonts w:hAnsi="宋体"/>
                <w:szCs w:val="24"/>
              </w:rPr>
            </w:pPr>
            <w:r w:rsidRPr="004E5DFD">
              <w:rPr>
                <w:rFonts w:hAnsi="宋体"/>
                <w:szCs w:val="24"/>
              </w:rPr>
              <w:t>密级</w:t>
            </w:r>
          </w:p>
        </w:tc>
        <w:tc>
          <w:tcPr>
            <w:tcW w:w="1637" w:type="dxa"/>
            <w:tcBorders>
              <w:top w:val="nil"/>
              <w:left w:val="nil"/>
              <w:bottom w:val="nil"/>
              <w:right w:val="nil"/>
            </w:tcBorders>
            <w:shd w:val="clear" w:color="auto" w:fill="auto"/>
          </w:tcPr>
          <w:p w14:paraId="25F480D2" w14:textId="5ADC0BBC" w:rsidR="004E5DFD" w:rsidRPr="004E5DFD" w:rsidRDefault="004E5DFD" w:rsidP="00D57D4F">
            <w:pPr>
              <w:snapToGrid w:val="0"/>
              <w:spacing w:line="240" w:lineRule="auto"/>
              <w:ind w:firstLine="0"/>
              <w:rPr>
                <w:rFonts w:hAnsi="宋体"/>
                <w:szCs w:val="24"/>
              </w:rPr>
            </w:pPr>
            <w:r w:rsidRPr="004E5DFD">
              <w:rPr>
                <w:rFonts w:hAnsi="宋体" w:hint="eastAsia"/>
                <w:szCs w:val="24"/>
              </w:rPr>
              <w:t>公开</w:t>
            </w:r>
          </w:p>
        </w:tc>
      </w:tr>
      <w:tr w:rsidR="004E5DFD" w:rsidRPr="004E5DFD" w14:paraId="5EFD003E" w14:textId="77777777" w:rsidTr="002C60AA">
        <w:trPr>
          <w:trHeight w:val="454"/>
          <w:jc w:val="center"/>
        </w:trPr>
        <w:tc>
          <w:tcPr>
            <w:tcW w:w="1421" w:type="dxa"/>
            <w:tcBorders>
              <w:top w:val="nil"/>
              <w:left w:val="nil"/>
              <w:bottom w:val="nil"/>
              <w:right w:val="nil"/>
            </w:tcBorders>
            <w:shd w:val="clear" w:color="auto" w:fill="auto"/>
          </w:tcPr>
          <w:p w14:paraId="5A213814" w14:textId="77777777" w:rsidR="004E5DFD" w:rsidRPr="004E5DFD" w:rsidRDefault="004E5DFD" w:rsidP="00D57D4F">
            <w:pPr>
              <w:snapToGrid w:val="0"/>
              <w:spacing w:line="240" w:lineRule="auto"/>
              <w:ind w:firstLine="0"/>
              <w:jc w:val="right"/>
              <w:rPr>
                <w:szCs w:val="24"/>
              </w:rPr>
            </w:pPr>
            <w:r w:rsidRPr="004E5DFD">
              <w:rPr>
                <w:szCs w:val="24"/>
              </w:rPr>
              <w:t>研究生类别</w:t>
            </w:r>
          </w:p>
        </w:tc>
        <w:tc>
          <w:tcPr>
            <w:tcW w:w="4252" w:type="dxa"/>
            <w:gridSpan w:val="2"/>
            <w:tcBorders>
              <w:top w:val="nil"/>
              <w:left w:val="nil"/>
              <w:bottom w:val="nil"/>
              <w:right w:val="nil"/>
            </w:tcBorders>
            <w:shd w:val="clear" w:color="auto" w:fill="auto"/>
          </w:tcPr>
          <w:p w14:paraId="477139A5" w14:textId="77777777" w:rsidR="004E5DFD" w:rsidRPr="004E5DFD" w:rsidRDefault="004E5DFD" w:rsidP="00D57D4F">
            <w:pPr>
              <w:snapToGrid w:val="0"/>
              <w:spacing w:line="240" w:lineRule="auto"/>
              <w:ind w:firstLine="0"/>
              <w:rPr>
                <w:rFonts w:hAnsi="宋体"/>
                <w:szCs w:val="24"/>
              </w:rPr>
            </w:pPr>
            <w:r>
              <w:rPr>
                <w:rFonts w:hAnsi="宋体" w:hint="eastAsia"/>
                <w:szCs w:val="24"/>
              </w:rPr>
              <w:t>全日制学术型硕士</w:t>
            </w:r>
            <w:r w:rsidRPr="004E5DFD">
              <w:rPr>
                <w:rFonts w:hAnsi="宋体" w:hint="eastAsia"/>
                <w:szCs w:val="24"/>
              </w:rPr>
              <w:t>研究生</w:t>
            </w:r>
          </w:p>
        </w:tc>
        <w:tc>
          <w:tcPr>
            <w:tcW w:w="1093" w:type="dxa"/>
            <w:tcBorders>
              <w:top w:val="nil"/>
              <w:left w:val="nil"/>
              <w:bottom w:val="nil"/>
              <w:right w:val="nil"/>
            </w:tcBorders>
            <w:shd w:val="clear" w:color="auto" w:fill="auto"/>
          </w:tcPr>
          <w:p w14:paraId="5DBD5BBC" w14:textId="77777777" w:rsidR="004E5DFD" w:rsidRPr="004E5DFD" w:rsidRDefault="004E5DFD" w:rsidP="00D57D4F">
            <w:pPr>
              <w:snapToGrid w:val="0"/>
              <w:spacing w:line="240" w:lineRule="auto"/>
              <w:ind w:firstLine="0"/>
              <w:jc w:val="right"/>
              <w:rPr>
                <w:rFonts w:hAnsi="宋体"/>
                <w:szCs w:val="24"/>
              </w:rPr>
            </w:pPr>
          </w:p>
        </w:tc>
        <w:tc>
          <w:tcPr>
            <w:tcW w:w="1637" w:type="dxa"/>
            <w:tcBorders>
              <w:top w:val="nil"/>
              <w:left w:val="nil"/>
              <w:bottom w:val="nil"/>
              <w:right w:val="nil"/>
            </w:tcBorders>
            <w:shd w:val="clear" w:color="auto" w:fill="auto"/>
          </w:tcPr>
          <w:p w14:paraId="4475319C" w14:textId="77777777" w:rsidR="004E5DFD" w:rsidRPr="004E5DFD" w:rsidRDefault="004E5DFD" w:rsidP="00D57D4F">
            <w:pPr>
              <w:snapToGrid w:val="0"/>
              <w:spacing w:line="240" w:lineRule="auto"/>
              <w:ind w:firstLine="0"/>
              <w:rPr>
                <w:rFonts w:hAnsi="宋体"/>
                <w:szCs w:val="24"/>
              </w:rPr>
            </w:pPr>
          </w:p>
        </w:tc>
      </w:tr>
    </w:tbl>
    <w:p w14:paraId="2AFF2ACF" w14:textId="77777777" w:rsidR="004E5DFD" w:rsidRPr="004E5DFD" w:rsidRDefault="004E5DFD" w:rsidP="00D57D4F">
      <w:pPr>
        <w:tabs>
          <w:tab w:val="left" w:pos="2378"/>
          <w:tab w:val="left" w:pos="4041"/>
          <w:tab w:val="left" w:pos="5705"/>
          <w:tab w:val="left" w:pos="7368"/>
        </w:tabs>
        <w:snapToGrid w:val="0"/>
        <w:ind w:firstLine="1701"/>
        <w:textAlignment w:val="center"/>
        <w:rPr>
          <w:sz w:val="28"/>
          <w:szCs w:val="24"/>
        </w:rPr>
      </w:pPr>
    </w:p>
    <w:p w14:paraId="1A1A0A56" w14:textId="77777777" w:rsidR="004E5DFD" w:rsidRPr="004E5DFD" w:rsidRDefault="004E5DFD" w:rsidP="00D57D4F">
      <w:pPr>
        <w:tabs>
          <w:tab w:val="left" w:pos="2378"/>
          <w:tab w:val="left" w:pos="4041"/>
          <w:tab w:val="left" w:pos="5705"/>
          <w:tab w:val="left" w:pos="7368"/>
        </w:tabs>
        <w:snapToGrid w:val="0"/>
        <w:ind w:firstLine="1701"/>
        <w:textAlignment w:val="center"/>
        <w:rPr>
          <w:sz w:val="28"/>
          <w:szCs w:val="24"/>
        </w:rPr>
      </w:pPr>
    </w:p>
    <w:p w14:paraId="740B557D" w14:textId="7AD7075F" w:rsidR="004E5DFD" w:rsidRPr="004E5DFD" w:rsidRDefault="000B22E1" w:rsidP="00D57D4F">
      <w:pPr>
        <w:tabs>
          <w:tab w:val="left" w:pos="2378"/>
          <w:tab w:val="left" w:pos="4041"/>
          <w:tab w:val="left" w:pos="5705"/>
          <w:tab w:val="left" w:pos="7368"/>
        </w:tabs>
        <w:snapToGrid w:val="0"/>
        <w:ind w:firstLine="1701"/>
        <w:textAlignment w:val="center"/>
        <w:rPr>
          <w:rFonts w:ascii="黑体" w:eastAsia="黑体" w:hAnsi="黑体"/>
          <w:sz w:val="28"/>
        </w:rPr>
      </w:pPr>
      <w:r>
        <w:rPr>
          <w:noProof/>
          <w:sz w:val="28"/>
          <w:szCs w:val="24"/>
        </w:rPr>
        <w:drawing>
          <wp:inline distT="0" distB="0" distL="0" distR="0" wp14:anchorId="10D2FF4F" wp14:editId="0E70075C">
            <wp:extent cx="431800" cy="41910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2824"/>
                    <a:stretch>
                      <a:fillRect/>
                    </a:stretch>
                  </pic:blipFill>
                  <pic:spPr bwMode="auto">
                    <a:xfrm>
                      <a:off x="0" y="0"/>
                      <a:ext cx="431800" cy="419100"/>
                    </a:xfrm>
                    <a:prstGeom prst="rect">
                      <a:avLst/>
                    </a:prstGeom>
                    <a:noFill/>
                    <a:ln>
                      <a:noFill/>
                    </a:ln>
                  </pic:spPr>
                </pic:pic>
              </a:graphicData>
            </a:graphic>
          </wp:inline>
        </w:drawing>
      </w:r>
      <w:r w:rsidR="004E5DFD" w:rsidRPr="004E5DFD">
        <w:rPr>
          <w:rFonts w:hint="eastAsia"/>
          <w:sz w:val="28"/>
          <w:szCs w:val="24"/>
        </w:rPr>
        <w:t xml:space="preserve">  </w:t>
      </w:r>
      <w:r w:rsidRPr="000B22E1">
        <w:rPr>
          <w:noProof/>
          <w:szCs w:val="24"/>
        </w:rPr>
        <w:drawing>
          <wp:inline distT="0" distB="0" distL="0" distR="0" wp14:anchorId="73130541" wp14:editId="5853A5D4">
            <wp:extent cx="2286000" cy="36830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368300"/>
                    </a:xfrm>
                    <a:prstGeom prst="rect">
                      <a:avLst/>
                    </a:prstGeom>
                    <a:noFill/>
                    <a:ln>
                      <a:noFill/>
                    </a:ln>
                  </pic:spPr>
                </pic:pic>
              </a:graphicData>
            </a:graphic>
          </wp:inline>
        </w:drawing>
      </w:r>
    </w:p>
    <w:p w14:paraId="71DB8ADA" w14:textId="77777777" w:rsidR="004E5DFD" w:rsidRPr="004E5DFD" w:rsidRDefault="004E5DFD" w:rsidP="00D57D4F">
      <w:pPr>
        <w:tabs>
          <w:tab w:val="left" w:pos="2378"/>
          <w:tab w:val="left" w:pos="4041"/>
          <w:tab w:val="left" w:pos="5705"/>
          <w:tab w:val="left" w:pos="7368"/>
        </w:tabs>
        <w:snapToGrid w:val="0"/>
        <w:ind w:firstLine="0"/>
        <w:jc w:val="center"/>
        <w:rPr>
          <w:rFonts w:ascii="黑体" w:eastAsia="黑体" w:hAnsi="黑体"/>
          <w:sz w:val="44"/>
        </w:rPr>
      </w:pPr>
      <w:r>
        <w:rPr>
          <w:rFonts w:ascii="黑体" w:eastAsia="黑体" w:hAnsi="黑体" w:hint="eastAsia"/>
          <w:sz w:val="44"/>
        </w:rPr>
        <w:t>法学</w:t>
      </w:r>
      <w:r w:rsidRPr="004E5DFD">
        <w:rPr>
          <w:rFonts w:ascii="黑体" w:eastAsia="黑体" w:hAnsi="黑体" w:hint="eastAsia"/>
          <w:sz w:val="44"/>
        </w:rPr>
        <w:t>硕士学位论文</w:t>
      </w:r>
    </w:p>
    <w:p w14:paraId="0E6AC383" w14:textId="77777777" w:rsidR="004E5DFD" w:rsidRPr="004E5DFD" w:rsidRDefault="004E5DFD" w:rsidP="00D57D4F">
      <w:pPr>
        <w:tabs>
          <w:tab w:val="left" w:pos="2378"/>
          <w:tab w:val="left" w:pos="4041"/>
          <w:tab w:val="left" w:pos="5705"/>
          <w:tab w:val="left" w:pos="7368"/>
        </w:tabs>
        <w:snapToGrid w:val="0"/>
        <w:ind w:firstLine="0"/>
        <w:jc w:val="center"/>
        <w:rPr>
          <w:rFonts w:ascii="黑体" w:eastAsia="黑体" w:hAnsi="黑体"/>
          <w:sz w:val="44"/>
        </w:rPr>
      </w:pPr>
    </w:p>
    <w:tbl>
      <w:tblPr>
        <w:tblW w:w="8317" w:type="dxa"/>
        <w:jc w:val="center"/>
        <w:tblLook w:val="04A0" w:firstRow="1" w:lastRow="0" w:firstColumn="1" w:lastColumn="0" w:noHBand="0" w:noVBand="1"/>
      </w:tblPr>
      <w:tblGrid>
        <w:gridCol w:w="8317"/>
      </w:tblGrid>
      <w:tr w:rsidR="004E5DFD" w:rsidRPr="004E5DFD" w14:paraId="62226643" w14:textId="77777777" w:rsidTr="002C60AA">
        <w:trPr>
          <w:trHeight w:val="794"/>
          <w:jc w:val="center"/>
        </w:trPr>
        <w:tc>
          <w:tcPr>
            <w:tcW w:w="8317" w:type="dxa"/>
            <w:shd w:val="clear" w:color="auto" w:fill="auto"/>
          </w:tcPr>
          <w:p w14:paraId="30DB24E0" w14:textId="77777777" w:rsidR="004E5DFD" w:rsidRPr="004E5DFD" w:rsidRDefault="004E5DFD" w:rsidP="00D57D4F">
            <w:pPr>
              <w:snapToGrid w:val="0"/>
              <w:spacing w:before="360" w:line="240" w:lineRule="auto"/>
              <w:ind w:firstLine="0"/>
              <w:jc w:val="center"/>
              <w:rPr>
                <w:rFonts w:ascii="黑体" w:eastAsia="黑体" w:hAnsi="黑体"/>
                <w:szCs w:val="24"/>
              </w:rPr>
            </w:pPr>
            <w:r>
              <w:rPr>
                <w:rFonts w:ascii="黑体" w:eastAsia="黑体" w:hAnsi="黑体" w:hint="eastAsia"/>
                <w:sz w:val="32"/>
                <w:szCs w:val="24"/>
              </w:rPr>
              <w:t>认罪认罚从宽制度下检察机关量刑建议权研究</w:t>
            </w:r>
          </w:p>
        </w:tc>
      </w:tr>
    </w:tbl>
    <w:p w14:paraId="5CB9FDB7" w14:textId="570CD42B" w:rsidR="004E5DFD" w:rsidRPr="004E5DFD" w:rsidRDefault="004E5DFD" w:rsidP="00D57D4F">
      <w:pPr>
        <w:snapToGrid w:val="0"/>
        <w:spacing w:line="240" w:lineRule="auto"/>
        <w:ind w:firstLine="0"/>
        <w:jc w:val="center"/>
        <w:rPr>
          <w:rFonts w:ascii="黑体" w:eastAsia="黑体" w:hAnsi="黑体"/>
          <w:sz w:val="24"/>
          <w:szCs w:val="24"/>
        </w:rPr>
      </w:pPr>
    </w:p>
    <w:tbl>
      <w:tblPr>
        <w:tblW w:w="8317" w:type="dxa"/>
        <w:jc w:val="center"/>
        <w:tblLook w:val="04A0" w:firstRow="1" w:lastRow="0" w:firstColumn="1" w:lastColumn="0" w:noHBand="0" w:noVBand="1"/>
      </w:tblPr>
      <w:tblGrid>
        <w:gridCol w:w="8317"/>
      </w:tblGrid>
      <w:tr w:rsidR="004E5DFD" w:rsidRPr="004E5DFD" w14:paraId="584D5C27" w14:textId="77777777" w:rsidTr="002C60AA">
        <w:trPr>
          <w:trHeight w:val="794"/>
          <w:jc w:val="center"/>
        </w:trPr>
        <w:tc>
          <w:tcPr>
            <w:tcW w:w="8317" w:type="dxa"/>
            <w:shd w:val="clear" w:color="auto" w:fill="auto"/>
          </w:tcPr>
          <w:p w14:paraId="66474C77" w14:textId="027B5CAC" w:rsidR="004E5DFD" w:rsidRPr="004E5DFD" w:rsidRDefault="00562981" w:rsidP="00D57D4F">
            <w:pPr>
              <w:snapToGrid w:val="0"/>
              <w:spacing w:before="360" w:line="240" w:lineRule="auto"/>
              <w:ind w:firstLine="0"/>
              <w:jc w:val="center"/>
              <w:rPr>
                <w:rFonts w:eastAsia="黑体"/>
                <w:sz w:val="32"/>
                <w:szCs w:val="24"/>
              </w:rPr>
            </w:pPr>
            <w:r w:rsidRPr="00562981">
              <w:rPr>
                <w:rFonts w:eastAsia="黑体"/>
                <w:sz w:val="32"/>
                <w:szCs w:val="24"/>
              </w:rPr>
              <w:t>Research on the Procuratorate's Right to Sentencing Advice under the System of Plea Guilty</w:t>
            </w:r>
          </w:p>
        </w:tc>
      </w:tr>
    </w:tbl>
    <w:p w14:paraId="2AD525BA" w14:textId="77777777" w:rsidR="004E5DFD" w:rsidRPr="004E5DFD" w:rsidRDefault="004E5DFD" w:rsidP="00D57D4F">
      <w:pPr>
        <w:snapToGrid w:val="0"/>
        <w:spacing w:before="211"/>
        <w:ind w:firstLine="0"/>
        <w:jc w:val="center"/>
        <w:rPr>
          <w:b/>
          <w:sz w:val="32"/>
          <w:szCs w:val="24"/>
        </w:rPr>
      </w:pPr>
    </w:p>
    <w:p w14:paraId="4E151714" w14:textId="77777777" w:rsidR="004E5DFD" w:rsidRPr="004E5DFD" w:rsidRDefault="004E5DFD" w:rsidP="00D57D4F">
      <w:pPr>
        <w:snapToGrid w:val="0"/>
        <w:spacing w:line="240" w:lineRule="auto"/>
        <w:ind w:firstLine="0"/>
        <w:rPr>
          <w:color w:val="000000"/>
          <w:kern w:val="0"/>
          <w:sz w:val="28"/>
          <w:szCs w:val="24"/>
        </w:rPr>
      </w:pPr>
    </w:p>
    <w:tbl>
      <w:tblPr>
        <w:tblW w:w="0" w:type="auto"/>
        <w:jc w:val="center"/>
        <w:tblLook w:val="04A0" w:firstRow="1" w:lastRow="0" w:firstColumn="1" w:lastColumn="0" w:noHBand="0" w:noVBand="1"/>
      </w:tblPr>
      <w:tblGrid>
        <w:gridCol w:w="1479"/>
        <w:gridCol w:w="2264"/>
        <w:gridCol w:w="425"/>
        <w:gridCol w:w="1415"/>
        <w:gridCol w:w="2558"/>
      </w:tblGrid>
      <w:tr w:rsidR="004E5DFD" w:rsidRPr="004E5DFD" w14:paraId="27FFB486" w14:textId="77777777" w:rsidTr="004E5DFD">
        <w:trPr>
          <w:trHeight w:val="567"/>
          <w:jc w:val="center"/>
        </w:trPr>
        <w:tc>
          <w:tcPr>
            <w:tcW w:w="1479" w:type="dxa"/>
            <w:shd w:val="clear" w:color="auto" w:fill="auto"/>
            <w:vAlign w:val="bottom"/>
          </w:tcPr>
          <w:p w14:paraId="1A23312F" w14:textId="77777777" w:rsidR="004E5DFD" w:rsidRPr="004E5DFD" w:rsidRDefault="004E5DFD" w:rsidP="00D57D4F">
            <w:pPr>
              <w:snapToGrid w:val="0"/>
              <w:spacing w:line="240" w:lineRule="auto"/>
              <w:ind w:firstLine="0"/>
              <w:jc w:val="right"/>
              <w:rPr>
                <w:color w:val="000000"/>
                <w:position w:val="-6"/>
                <w:sz w:val="28"/>
                <w:szCs w:val="24"/>
              </w:rPr>
            </w:pPr>
            <w:r w:rsidRPr="004E5DFD">
              <w:rPr>
                <w:rFonts w:hint="eastAsia"/>
                <w:color w:val="000000"/>
                <w:kern w:val="0"/>
                <w:sz w:val="28"/>
                <w:szCs w:val="24"/>
              </w:rPr>
              <w:t>作者姓名</w:t>
            </w:r>
          </w:p>
        </w:tc>
        <w:tc>
          <w:tcPr>
            <w:tcW w:w="2264" w:type="dxa"/>
            <w:shd w:val="clear" w:color="auto" w:fill="auto"/>
            <w:vAlign w:val="bottom"/>
          </w:tcPr>
          <w:p w14:paraId="5322A686" w14:textId="77777777" w:rsidR="004E5DFD" w:rsidRPr="004E5DFD" w:rsidRDefault="004E5DFD" w:rsidP="00D57D4F">
            <w:pPr>
              <w:snapToGrid w:val="0"/>
              <w:spacing w:line="240" w:lineRule="auto"/>
              <w:ind w:firstLine="0"/>
              <w:rPr>
                <w:color w:val="000000"/>
                <w:position w:val="-6"/>
                <w:sz w:val="28"/>
                <w:szCs w:val="24"/>
              </w:rPr>
            </w:pPr>
            <w:r>
              <w:rPr>
                <w:rFonts w:hint="eastAsia"/>
                <w:color w:val="000000"/>
                <w:position w:val="-6"/>
                <w:sz w:val="28"/>
                <w:szCs w:val="24"/>
              </w:rPr>
              <w:t>赵越</w:t>
            </w:r>
          </w:p>
        </w:tc>
        <w:tc>
          <w:tcPr>
            <w:tcW w:w="425" w:type="dxa"/>
            <w:shd w:val="clear" w:color="auto" w:fill="auto"/>
            <w:vAlign w:val="bottom"/>
          </w:tcPr>
          <w:p w14:paraId="735B4356" w14:textId="77777777" w:rsidR="004E5DFD" w:rsidRPr="004E5DFD" w:rsidRDefault="004E5DFD" w:rsidP="00D57D4F">
            <w:pPr>
              <w:snapToGrid w:val="0"/>
              <w:spacing w:line="240" w:lineRule="auto"/>
              <w:ind w:firstLine="0"/>
              <w:rPr>
                <w:color w:val="000000"/>
                <w:position w:val="-6"/>
                <w:sz w:val="28"/>
                <w:szCs w:val="24"/>
              </w:rPr>
            </w:pPr>
          </w:p>
        </w:tc>
        <w:tc>
          <w:tcPr>
            <w:tcW w:w="1415" w:type="dxa"/>
            <w:shd w:val="clear" w:color="auto" w:fill="auto"/>
            <w:vAlign w:val="bottom"/>
          </w:tcPr>
          <w:p w14:paraId="0F332039" w14:textId="5177C9A4" w:rsidR="004E5DFD" w:rsidRPr="004E5DFD" w:rsidRDefault="00B55C66" w:rsidP="00B55C66">
            <w:pPr>
              <w:wordWrap w:val="0"/>
              <w:snapToGrid w:val="0"/>
              <w:spacing w:line="240" w:lineRule="auto"/>
              <w:ind w:firstLine="0"/>
              <w:jc w:val="right"/>
              <w:rPr>
                <w:color w:val="000000"/>
                <w:kern w:val="0"/>
                <w:sz w:val="28"/>
                <w:szCs w:val="24"/>
              </w:rPr>
            </w:pPr>
            <w:r>
              <w:rPr>
                <w:rFonts w:hint="eastAsia"/>
                <w:color w:val="000000"/>
                <w:position w:val="-6"/>
                <w:sz w:val="28"/>
                <w:szCs w:val="24"/>
              </w:rPr>
              <w:t>指导教师</w:t>
            </w:r>
          </w:p>
        </w:tc>
        <w:tc>
          <w:tcPr>
            <w:tcW w:w="2558" w:type="dxa"/>
            <w:shd w:val="clear" w:color="auto" w:fill="auto"/>
            <w:vAlign w:val="bottom"/>
          </w:tcPr>
          <w:p w14:paraId="3767E66D" w14:textId="15876F8B" w:rsidR="004E5DFD" w:rsidRPr="004E5DFD" w:rsidRDefault="004E5DFD" w:rsidP="00D57D4F">
            <w:pPr>
              <w:snapToGrid w:val="0"/>
              <w:spacing w:line="240" w:lineRule="auto"/>
              <w:ind w:firstLine="0"/>
              <w:rPr>
                <w:color w:val="000000"/>
                <w:kern w:val="0"/>
                <w:sz w:val="28"/>
                <w:szCs w:val="24"/>
              </w:rPr>
            </w:pPr>
            <w:r>
              <w:rPr>
                <w:rFonts w:hint="eastAsia"/>
                <w:color w:val="000000"/>
                <w:kern w:val="0"/>
                <w:sz w:val="28"/>
                <w:szCs w:val="24"/>
              </w:rPr>
              <w:t>张兆松</w:t>
            </w:r>
            <w:r w:rsidRPr="004E5DFD">
              <w:rPr>
                <w:rFonts w:hint="eastAsia"/>
                <w:color w:val="000000"/>
                <w:kern w:val="0"/>
                <w:sz w:val="28"/>
                <w:szCs w:val="24"/>
              </w:rPr>
              <w:t xml:space="preserve"> </w:t>
            </w:r>
            <w:r w:rsidRPr="004E5DFD">
              <w:rPr>
                <w:rFonts w:hint="eastAsia"/>
                <w:color w:val="000000"/>
                <w:kern w:val="0"/>
                <w:sz w:val="28"/>
                <w:szCs w:val="24"/>
              </w:rPr>
              <w:t>教授</w:t>
            </w:r>
          </w:p>
        </w:tc>
      </w:tr>
      <w:tr w:rsidR="004E5DFD" w:rsidRPr="004E5DFD" w14:paraId="524235E0" w14:textId="77777777" w:rsidTr="004E5DFD">
        <w:trPr>
          <w:trHeight w:val="567"/>
          <w:jc w:val="center"/>
        </w:trPr>
        <w:tc>
          <w:tcPr>
            <w:tcW w:w="1479" w:type="dxa"/>
            <w:shd w:val="clear" w:color="auto" w:fill="auto"/>
            <w:vAlign w:val="bottom"/>
          </w:tcPr>
          <w:p w14:paraId="17BD32C0" w14:textId="77777777" w:rsidR="004E5DFD" w:rsidRPr="004E5DFD" w:rsidRDefault="004E5DFD" w:rsidP="00D57D4F">
            <w:pPr>
              <w:snapToGrid w:val="0"/>
              <w:spacing w:line="240" w:lineRule="auto"/>
              <w:ind w:firstLine="0"/>
              <w:jc w:val="right"/>
              <w:rPr>
                <w:color w:val="000000"/>
                <w:position w:val="-6"/>
                <w:sz w:val="28"/>
                <w:szCs w:val="24"/>
              </w:rPr>
            </w:pPr>
            <w:r w:rsidRPr="004E5DFD">
              <w:rPr>
                <w:rFonts w:hint="eastAsia"/>
                <w:color w:val="000000"/>
                <w:kern w:val="0"/>
                <w:sz w:val="28"/>
                <w:szCs w:val="24"/>
              </w:rPr>
              <w:t>学位类型</w:t>
            </w:r>
          </w:p>
        </w:tc>
        <w:tc>
          <w:tcPr>
            <w:tcW w:w="2264" w:type="dxa"/>
            <w:shd w:val="clear" w:color="auto" w:fill="auto"/>
            <w:vAlign w:val="bottom"/>
          </w:tcPr>
          <w:p w14:paraId="5050C0D2" w14:textId="77777777" w:rsidR="004E5DFD" w:rsidRPr="004E5DFD" w:rsidRDefault="004E5DFD" w:rsidP="00D57D4F">
            <w:pPr>
              <w:snapToGrid w:val="0"/>
              <w:spacing w:line="240" w:lineRule="auto"/>
              <w:ind w:firstLine="0"/>
              <w:rPr>
                <w:color w:val="000000"/>
                <w:position w:val="-6"/>
                <w:sz w:val="28"/>
                <w:szCs w:val="24"/>
              </w:rPr>
            </w:pPr>
            <w:r>
              <w:rPr>
                <w:rFonts w:hint="eastAsia"/>
                <w:color w:val="000000"/>
                <w:position w:val="-6"/>
                <w:sz w:val="28"/>
                <w:szCs w:val="24"/>
              </w:rPr>
              <w:t>法学硕士</w:t>
            </w:r>
          </w:p>
        </w:tc>
        <w:tc>
          <w:tcPr>
            <w:tcW w:w="425" w:type="dxa"/>
            <w:shd w:val="clear" w:color="auto" w:fill="auto"/>
            <w:vAlign w:val="bottom"/>
          </w:tcPr>
          <w:p w14:paraId="450226A9" w14:textId="77777777" w:rsidR="004E5DFD" w:rsidRPr="004E5DFD" w:rsidRDefault="004E5DFD" w:rsidP="00D57D4F">
            <w:pPr>
              <w:snapToGrid w:val="0"/>
              <w:spacing w:line="240" w:lineRule="auto"/>
              <w:ind w:firstLine="0"/>
              <w:rPr>
                <w:color w:val="000000"/>
                <w:position w:val="-6"/>
                <w:sz w:val="28"/>
                <w:szCs w:val="24"/>
              </w:rPr>
            </w:pPr>
          </w:p>
        </w:tc>
        <w:tc>
          <w:tcPr>
            <w:tcW w:w="1415" w:type="dxa"/>
            <w:shd w:val="clear" w:color="auto" w:fill="auto"/>
            <w:vAlign w:val="bottom"/>
          </w:tcPr>
          <w:p w14:paraId="7E91EA39" w14:textId="08591EA2" w:rsidR="004E5DFD" w:rsidRPr="00A41FB5" w:rsidRDefault="00AE2659" w:rsidP="00D57D4F">
            <w:pPr>
              <w:snapToGrid w:val="0"/>
              <w:spacing w:line="240" w:lineRule="auto"/>
              <w:ind w:firstLine="0"/>
              <w:jc w:val="right"/>
              <w:rPr>
                <w:color w:val="000000"/>
                <w:position w:val="-6"/>
                <w:sz w:val="28"/>
                <w:szCs w:val="24"/>
                <w:highlight w:val="yellow"/>
              </w:rPr>
            </w:pPr>
            <w:r w:rsidRPr="00A41FB5">
              <w:rPr>
                <w:rFonts w:hint="eastAsia"/>
                <w:color w:val="000000"/>
                <w:position w:val="-6"/>
                <w:sz w:val="28"/>
                <w:szCs w:val="24"/>
                <w:highlight w:val="yellow"/>
              </w:rPr>
              <w:t>第二导师</w:t>
            </w:r>
          </w:p>
        </w:tc>
        <w:tc>
          <w:tcPr>
            <w:tcW w:w="2558" w:type="dxa"/>
            <w:shd w:val="clear" w:color="auto" w:fill="auto"/>
            <w:vAlign w:val="bottom"/>
          </w:tcPr>
          <w:p w14:paraId="3ED37BD3" w14:textId="038E56C8" w:rsidR="004E5DFD" w:rsidRPr="00A41FB5" w:rsidRDefault="00AE2659" w:rsidP="00D57D4F">
            <w:pPr>
              <w:snapToGrid w:val="0"/>
              <w:spacing w:line="240" w:lineRule="auto"/>
              <w:ind w:firstLine="0"/>
              <w:rPr>
                <w:color w:val="000000"/>
                <w:position w:val="-6"/>
                <w:sz w:val="28"/>
                <w:szCs w:val="24"/>
                <w:highlight w:val="yellow"/>
              </w:rPr>
            </w:pPr>
            <w:r w:rsidRPr="00A41FB5">
              <w:rPr>
                <w:rFonts w:hint="eastAsia"/>
                <w:color w:val="000000"/>
                <w:position w:val="-6"/>
                <w:sz w:val="28"/>
                <w:szCs w:val="24"/>
                <w:highlight w:val="yellow"/>
              </w:rPr>
              <w:t>或实务导师</w:t>
            </w:r>
          </w:p>
        </w:tc>
      </w:tr>
      <w:tr w:rsidR="00AE2659" w:rsidRPr="004E5DFD" w14:paraId="30656135" w14:textId="77777777" w:rsidTr="00744AA2">
        <w:trPr>
          <w:trHeight w:val="567"/>
          <w:jc w:val="center"/>
        </w:trPr>
        <w:tc>
          <w:tcPr>
            <w:tcW w:w="1479" w:type="dxa"/>
            <w:shd w:val="clear" w:color="auto" w:fill="auto"/>
            <w:vAlign w:val="bottom"/>
          </w:tcPr>
          <w:p w14:paraId="5119C59D" w14:textId="77777777" w:rsidR="00AE2659" w:rsidRPr="004E5DFD" w:rsidRDefault="00AE2659" w:rsidP="00AE2659">
            <w:pPr>
              <w:snapToGrid w:val="0"/>
              <w:spacing w:line="240" w:lineRule="auto"/>
              <w:ind w:firstLine="0"/>
              <w:jc w:val="right"/>
              <w:rPr>
                <w:color w:val="000000"/>
                <w:position w:val="-6"/>
                <w:sz w:val="28"/>
                <w:szCs w:val="24"/>
              </w:rPr>
            </w:pPr>
            <w:r w:rsidRPr="004E5DFD">
              <w:rPr>
                <w:rFonts w:hint="eastAsia"/>
                <w:color w:val="000000"/>
                <w:kern w:val="0"/>
                <w:sz w:val="28"/>
                <w:szCs w:val="24"/>
              </w:rPr>
              <w:t>学科专业</w:t>
            </w:r>
          </w:p>
        </w:tc>
        <w:tc>
          <w:tcPr>
            <w:tcW w:w="2264" w:type="dxa"/>
            <w:shd w:val="clear" w:color="auto" w:fill="auto"/>
            <w:vAlign w:val="bottom"/>
          </w:tcPr>
          <w:p w14:paraId="64BEFFCF" w14:textId="77777777" w:rsidR="00AE2659" w:rsidRPr="004E5DFD" w:rsidRDefault="00AE2659" w:rsidP="00AE2659">
            <w:pPr>
              <w:snapToGrid w:val="0"/>
              <w:spacing w:line="240" w:lineRule="auto"/>
              <w:ind w:firstLine="0"/>
              <w:rPr>
                <w:color w:val="000000"/>
                <w:position w:val="-6"/>
                <w:sz w:val="28"/>
                <w:szCs w:val="24"/>
              </w:rPr>
            </w:pPr>
            <w:r>
              <w:rPr>
                <w:rFonts w:hint="eastAsia"/>
                <w:color w:val="000000"/>
                <w:position w:val="-6"/>
                <w:sz w:val="28"/>
                <w:szCs w:val="24"/>
              </w:rPr>
              <w:t>诉讼法学</w:t>
            </w:r>
          </w:p>
        </w:tc>
        <w:tc>
          <w:tcPr>
            <w:tcW w:w="425" w:type="dxa"/>
            <w:shd w:val="clear" w:color="auto" w:fill="auto"/>
            <w:vAlign w:val="bottom"/>
          </w:tcPr>
          <w:p w14:paraId="0E6897FF" w14:textId="77777777" w:rsidR="00AE2659" w:rsidRPr="004E5DFD" w:rsidRDefault="00AE2659" w:rsidP="00AE2659">
            <w:pPr>
              <w:snapToGrid w:val="0"/>
              <w:spacing w:line="240" w:lineRule="auto"/>
              <w:ind w:firstLine="0"/>
              <w:rPr>
                <w:color w:val="000000"/>
                <w:position w:val="-6"/>
                <w:sz w:val="28"/>
                <w:szCs w:val="24"/>
              </w:rPr>
            </w:pPr>
          </w:p>
        </w:tc>
        <w:tc>
          <w:tcPr>
            <w:tcW w:w="1415" w:type="dxa"/>
            <w:shd w:val="clear" w:color="auto" w:fill="auto"/>
            <w:vAlign w:val="bottom"/>
          </w:tcPr>
          <w:p w14:paraId="5D9BC569" w14:textId="6DFCB603" w:rsidR="00AE2659" w:rsidRPr="004E5DFD" w:rsidRDefault="00AE2659" w:rsidP="00AE2659">
            <w:pPr>
              <w:snapToGrid w:val="0"/>
              <w:spacing w:line="240" w:lineRule="auto"/>
              <w:ind w:firstLine="0"/>
              <w:jc w:val="right"/>
              <w:rPr>
                <w:color w:val="000000"/>
                <w:position w:val="-6"/>
                <w:sz w:val="28"/>
                <w:szCs w:val="24"/>
              </w:rPr>
            </w:pPr>
            <w:r w:rsidRPr="004E5DFD">
              <w:rPr>
                <w:color w:val="000000"/>
                <w:position w:val="-6"/>
                <w:sz w:val="28"/>
                <w:szCs w:val="24"/>
              </w:rPr>
              <w:t>培养单位</w:t>
            </w:r>
          </w:p>
        </w:tc>
        <w:tc>
          <w:tcPr>
            <w:tcW w:w="2558" w:type="dxa"/>
            <w:vAlign w:val="bottom"/>
          </w:tcPr>
          <w:p w14:paraId="3BF13AB1" w14:textId="12DF7CFD" w:rsidR="00AE2659" w:rsidRPr="004E5DFD" w:rsidRDefault="00AE2659" w:rsidP="00AE2659">
            <w:pPr>
              <w:snapToGrid w:val="0"/>
              <w:spacing w:line="240" w:lineRule="auto"/>
              <w:ind w:firstLine="0"/>
              <w:rPr>
                <w:color w:val="000000"/>
                <w:position w:val="-6"/>
                <w:sz w:val="28"/>
                <w:szCs w:val="24"/>
              </w:rPr>
            </w:pPr>
            <w:r>
              <w:rPr>
                <w:rFonts w:hint="eastAsia"/>
                <w:color w:val="000000"/>
                <w:position w:val="-6"/>
                <w:sz w:val="28"/>
                <w:szCs w:val="24"/>
              </w:rPr>
              <w:t>法</w:t>
            </w:r>
            <w:r w:rsidRPr="004E5DFD">
              <w:rPr>
                <w:color w:val="000000"/>
                <w:position w:val="-6"/>
                <w:sz w:val="28"/>
                <w:szCs w:val="24"/>
              </w:rPr>
              <w:t>学院</w:t>
            </w:r>
          </w:p>
        </w:tc>
      </w:tr>
      <w:tr w:rsidR="004E5DFD" w:rsidRPr="004E5DFD" w14:paraId="7949FF79" w14:textId="77777777" w:rsidTr="004E5DFD">
        <w:trPr>
          <w:trHeight w:val="567"/>
          <w:jc w:val="center"/>
        </w:trPr>
        <w:tc>
          <w:tcPr>
            <w:tcW w:w="1479" w:type="dxa"/>
            <w:shd w:val="clear" w:color="auto" w:fill="auto"/>
            <w:vAlign w:val="bottom"/>
          </w:tcPr>
          <w:p w14:paraId="3C4EFDFA" w14:textId="77777777" w:rsidR="004E5DFD" w:rsidRPr="004E5DFD" w:rsidRDefault="004E5DFD" w:rsidP="00D57D4F">
            <w:pPr>
              <w:snapToGrid w:val="0"/>
              <w:spacing w:line="240" w:lineRule="auto"/>
              <w:ind w:firstLine="0"/>
              <w:jc w:val="right"/>
              <w:rPr>
                <w:color w:val="000000"/>
                <w:position w:val="-6"/>
                <w:sz w:val="28"/>
                <w:szCs w:val="24"/>
              </w:rPr>
            </w:pPr>
            <w:r w:rsidRPr="004E5DFD">
              <w:rPr>
                <w:color w:val="000000"/>
                <w:position w:val="-6"/>
                <w:sz w:val="28"/>
                <w:szCs w:val="24"/>
              </w:rPr>
              <w:t>研究方向</w:t>
            </w:r>
          </w:p>
        </w:tc>
        <w:tc>
          <w:tcPr>
            <w:tcW w:w="2264" w:type="dxa"/>
            <w:shd w:val="clear" w:color="auto" w:fill="auto"/>
            <w:vAlign w:val="bottom"/>
          </w:tcPr>
          <w:p w14:paraId="3D7243DA" w14:textId="77777777" w:rsidR="004E5DFD" w:rsidRPr="004E5DFD" w:rsidRDefault="004E5DFD" w:rsidP="00D57D4F">
            <w:pPr>
              <w:snapToGrid w:val="0"/>
              <w:spacing w:line="240" w:lineRule="auto"/>
              <w:ind w:firstLine="0"/>
              <w:rPr>
                <w:color w:val="000000"/>
                <w:position w:val="-6"/>
                <w:sz w:val="28"/>
                <w:szCs w:val="24"/>
              </w:rPr>
            </w:pPr>
            <w:r>
              <w:rPr>
                <w:rFonts w:hint="eastAsia"/>
                <w:color w:val="000000"/>
                <w:position w:val="-6"/>
                <w:sz w:val="28"/>
                <w:szCs w:val="24"/>
              </w:rPr>
              <w:t>刑事诉讼法</w:t>
            </w:r>
          </w:p>
        </w:tc>
        <w:tc>
          <w:tcPr>
            <w:tcW w:w="425" w:type="dxa"/>
            <w:shd w:val="clear" w:color="auto" w:fill="auto"/>
            <w:vAlign w:val="bottom"/>
          </w:tcPr>
          <w:p w14:paraId="63A1C87A" w14:textId="77777777" w:rsidR="004E5DFD" w:rsidRPr="004E5DFD" w:rsidRDefault="004E5DFD" w:rsidP="00D57D4F">
            <w:pPr>
              <w:snapToGrid w:val="0"/>
              <w:spacing w:line="240" w:lineRule="auto"/>
              <w:ind w:firstLine="0"/>
              <w:rPr>
                <w:color w:val="000000"/>
                <w:position w:val="-6"/>
                <w:sz w:val="28"/>
                <w:szCs w:val="24"/>
              </w:rPr>
            </w:pPr>
          </w:p>
        </w:tc>
        <w:tc>
          <w:tcPr>
            <w:tcW w:w="3973" w:type="dxa"/>
            <w:gridSpan w:val="2"/>
            <w:shd w:val="clear" w:color="auto" w:fill="auto"/>
            <w:vAlign w:val="bottom"/>
          </w:tcPr>
          <w:p w14:paraId="5094D8B2" w14:textId="77777777" w:rsidR="004E5DFD" w:rsidRPr="004E5DFD" w:rsidRDefault="004E5DFD" w:rsidP="00D57D4F">
            <w:pPr>
              <w:snapToGrid w:val="0"/>
              <w:spacing w:line="240" w:lineRule="auto"/>
              <w:ind w:firstLine="0"/>
              <w:rPr>
                <w:color w:val="000000"/>
                <w:position w:val="-6"/>
                <w:sz w:val="28"/>
                <w:szCs w:val="24"/>
              </w:rPr>
            </w:pPr>
          </w:p>
        </w:tc>
      </w:tr>
    </w:tbl>
    <w:p w14:paraId="26DACADB" w14:textId="77777777" w:rsidR="004E5DFD" w:rsidRPr="004E5DFD" w:rsidRDefault="004E5DFD" w:rsidP="00D57D4F">
      <w:pPr>
        <w:snapToGrid w:val="0"/>
        <w:ind w:firstLine="0"/>
        <w:rPr>
          <w:color w:val="000000"/>
          <w:kern w:val="0"/>
          <w:sz w:val="28"/>
          <w:szCs w:val="24"/>
        </w:rPr>
      </w:pPr>
    </w:p>
    <w:p w14:paraId="32A4FDD0" w14:textId="77777777" w:rsidR="004E5DFD" w:rsidRPr="004E5DFD" w:rsidRDefault="004E5DFD" w:rsidP="00D57D4F">
      <w:pPr>
        <w:snapToGrid w:val="0"/>
        <w:ind w:firstLine="0"/>
        <w:rPr>
          <w:color w:val="000000"/>
          <w:kern w:val="0"/>
          <w:sz w:val="28"/>
          <w:szCs w:val="24"/>
        </w:rPr>
      </w:pPr>
    </w:p>
    <w:p w14:paraId="6F704429" w14:textId="77777777" w:rsidR="00E73ED7" w:rsidRPr="00E73ED7" w:rsidRDefault="00E73ED7" w:rsidP="00E73ED7">
      <w:pPr>
        <w:snapToGrid w:val="0"/>
        <w:ind w:firstLine="0"/>
        <w:rPr>
          <w:color w:val="000000"/>
          <w:kern w:val="0"/>
          <w:sz w:val="28"/>
          <w:szCs w:val="24"/>
        </w:rPr>
      </w:pPr>
    </w:p>
    <w:tbl>
      <w:tblPr>
        <w:tblW w:w="0" w:type="auto"/>
        <w:jc w:val="center"/>
        <w:tblLook w:val="04A0" w:firstRow="1" w:lastRow="0" w:firstColumn="1" w:lastColumn="0" w:noHBand="0" w:noVBand="1"/>
      </w:tblPr>
      <w:tblGrid>
        <w:gridCol w:w="1559"/>
        <w:gridCol w:w="1174"/>
        <w:gridCol w:w="496"/>
        <w:gridCol w:w="640"/>
        <w:gridCol w:w="496"/>
        <w:gridCol w:w="689"/>
        <w:gridCol w:w="496"/>
        <w:gridCol w:w="932"/>
      </w:tblGrid>
      <w:tr w:rsidR="00E73ED7" w:rsidRPr="00E73ED7" w14:paraId="154B6E91" w14:textId="77777777" w:rsidTr="00194140">
        <w:trPr>
          <w:trHeight w:val="567"/>
          <w:jc w:val="center"/>
        </w:trPr>
        <w:tc>
          <w:tcPr>
            <w:tcW w:w="1559" w:type="dxa"/>
            <w:shd w:val="clear" w:color="auto" w:fill="auto"/>
            <w:vAlign w:val="bottom"/>
          </w:tcPr>
          <w:p w14:paraId="40F3DBA5" w14:textId="77777777" w:rsidR="00E73ED7" w:rsidRPr="00E73ED7" w:rsidRDefault="00E73ED7" w:rsidP="00E73ED7">
            <w:pPr>
              <w:widowControl/>
              <w:snapToGrid w:val="0"/>
              <w:spacing w:line="240" w:lineRule="auto"/>
              <w:ind w:firstLine="0"/>
              <w:contextualSpacing/>
              <w:rPr>
                <w:color w:val="000000"/>
                <w:kern w:val="0"/>
                <w:sz w:val="28"/>
                <w:szCs w:val="24"/>
                <w:u w:val="single"/>
              </w:rPr>
            </w:pPr>
            <w:r w:rsidRPr="00E73ED7">
              <w:rPr>
                <w:rFonts w:hint="eastAsia"/>
                <w:color w:val="000000"/>
                <w:kern w:val="0"/>
                <w:sz w:val="28"/>
                <w:szCs w:val="24"/>
              </w:rPr>
              <w:t>答辩日期：</w:t>
            </w:r>
          </w:p>
        </w:tc>
        <w:tc>
          <w:tcPr>
            <w:tcW w:w="1174" w:type="dxa"/>
            <w:shd w:val="clear" w:color="auto" w:fill="auto"/>
            <w:vAlign w:val="bottom"/>
          </w:tcPr>
          <w:p w14:paraId="663E216E" w14:textId="5DD2892E" w:rsidR="00E73ED7" w:rsidRPr="00E73ED7" w:rsidRDefault="00E73ED7" w:rsidP="00E73ED7">
            <w:pPr>
              <w:widowControl/>
              <w:snapToGrid w:val="0"/>
              <w:spacing w:line="240" w:lineRule="auto"/>
              <w:ind w:firstLine="0"/>
              <w:contextualSpacing/>
              <w:jc w:val="center"/>
              <w:rPr>
                <w:color w:val="000000"/>
                <w:kern w:val="0"/>
                <w:sz w:val="28"/>
                <w:szCs w:val="24"/>
              </w:rPr>
            </w:pPr>
            <w:r>
              <w:rPr>
                <w:rFonts w:hint="eastAsia"/>
                <w:color w:val="000000"/>
                <w:kern w:val="0"/>
                <w:sz w:val="28"/>
                <w:szCs w:val="24"/>
              </w:rPr>
              <w:t>2020</w:t>
            </w:r>
          </w:p>
        </w:tc>
        <w:tc>
          <w:tcPr>
            <w:tcW w:w="496" w:type="dxa"/>
            <w:shd w:val="clear" w:color="auto" w:fill="auto"/>
            <w:vAlign w:val="bottom"/>
          </w:tcPr>
          <w:p w14:paraId="789566A7" w14:textId="77777777" w:rsidR="00E73ED7" w:rsidRPr="00E73ED7" w:rsidRDefault="00E73ED7" w:rsidP="00E73ED7">
            <w:pPr>
              <w:widowControl/>
              <w:snapToGrid w:val="0"/>
              <w:spacing w:line="240" w:lineRule="auto"/>
              <w:ind w:firstLine="0"/>
              <w:contextualSpacing/>
              <w:jc w:val="center"/>
              <w:rPr>
                <w:color w:val="000000"/>
                <w:kern w:val="0"/>
                <w:sz w:val="28"/>
                <w:szCs w:val="24"/>
              </w:rPr>
            </w:pPr>
            <w:r w:rsidRPr="00E73ED7">
              <w:rPr>
                <w:rFonts w:hint="eastAsia"/>
                <w:color w:val="000000"/>
                <w:kern w:val="0"/>
                <w:sz w:val="28"/>
                <w:szCs w:val="24"/>
              </w:rPr>
              <w:t>年</w:t>
            </w:r>
          </w:p>
        </w:tc>
        <w:tc>
          <w:tcPr>
            <w:tcW w:w="640" w:type="dxa"/>
            <w:shd w:val="clear" w:color="auto" w:fill="auto"/>
            <w:vAlign w:val="bottom"/>
          </w:tcPr>
          <w:p w14:paraId="169011E0" w14:textId="70E59455" w:rsidR="00E73ED7" w:rsidRPr="00E73ED7" w:rsidRDefault="00E73ED7" w:rsidP="00E73ED7">
            <w:pPr>
              <w:widowControl/>
              <w:snapToGrid w:val="0"/>
              <w:spacing w:line="240" w:lineRule="auto"/>
              <w:ind w:firstLine="0"/>
              <w:contextualSpacing/>
              <w:jc w:val="center"/>
              <w:rPr>
                <w:color w:val="000000"/>
                <w:kern w:val="0"/>
                <w:sz w:val="28"/>
                <w:szCs w:val="24"/>
              </w:rPr>
            </w:pPr>
            <w:r>
              <w:rPr>
                <w:rFonts w:hint="eastAsia"/>
                <w:color w:val="000000"/>
                <w:kern w:val="0"/>
                <w:sz w:val="28"/>
                <w:szCs w:val="24"/>
              </w:rPr>
              <w:t>5</w:t>
            </w:r>
          </w:p>
        </w:tc>
        <w:tc>
          <w:tcPr>
            <w:tcW w:w="496" w:type="dxa"/>
            <w:shd w:val="clear" w:color="auto" w:fill="auto"/>
            <w:vAlign w:val="bottom"/>
          </w:tcPr>
          <w:p w14:paraId="300A85EF" w14:textId="77777777" w:rsidR="00E73ED7" w:rsidRPr="00E73ED7" w:rsidRDefault="00E73ED7" w:rsidP="00E73ED7">
            <w:pPr>
              <w:widowControl/>
              <w:snapToGrid w:val="0"/>
              <w:spacing w:line="240" w:lineRule="auto"/>
              <w:ind w:firstLine="0"/>
              <w:contextualSpacing/>
              <w:jc w:val="center"/>
              <w:rPr>
                <w:color w:val="000000"/>
                <w:kern w:val="0"/>
                <w:sz w:val="28"/>
                <w:szCs w:val="24"/>
              </w:rPr>
            </w:pPr>
            <w:r w:rsidRPr="00E73ED7">
              <w:rPr>
                <w:rFonts w:hint="eastAsia"/>
                <w:color w:val="000000"/>
                <w:kern w:val="0"/>
                <w:sz w:val="28"/>
                <w:szCs w:val="24"/>
              </w:rPr>
              <w:t>月</w:t>
            </w:r>
          </w:p>
        </w:tc>
        <w:tc>
          <w:tcPr>
            <w:tcW w:w="689" w:type="dxa"/>
            <w:shd w:val="clear" w:color="auto" w:fill="auto"/>
            <w:vAlign w:val="bottom"/>
          </w:tcPr>
          <w:p w14:paraId="1EC0E736" w14:textId="32786CED" w:rsidR="00E73ED7" w:rsidRPr="00E73ED7" w:rsidRDefault="00E73ED7" w:rsidP="00E73ED7">
            <w:pPr>
              <w:widowControl/>
              <w:snapToGrid w:val="0"/>
              <w:spacing w:line="240" w:lineRule="auto"/>
              <w:ind w:firstLine="0"/>
              <w:contextualSpacing/>
              <w:jc w:val="center"/>
              <w:rPr>
                <w:color w:val="000000"/>
                <w:kern w:val="0"/>
                <w:sz w:val="28"/>
                <w:szCs w:val="24"/>
              </w:rPr>
            </w:pPr>
            <w:r>
              <w:rPr>
                <w:rFonts w:hint="eastAsia"/>
                <w:color w:val="000000"/>
                <w:kern w:val="0"/>
                <w:sz w:val="28"/>
                <w:szCs w:val="24"/>
              </w:rPr>
              <w:t>23</w:t>
            </w:r>
          </w:p>
        </w:tc>
        <w:tc>
          <w:tcPr>
            <w:tcW w:w="496" w:type="dxa"/>
            <w:shd w:val="clear" w:color="auto" w:fill="auto"/>
            <w:vAlign w:val="bottom"/>
          </w:tcPr>
          <w:p w14:paraId="6972BDBC" w14:textId="77777777" w:rsidR="00E73ED7" w:rsidRPr="00E73ED7" w:rsidRDefault="00E73ED7" w:rsidP="00E73ED7">
            <w:pPr>
              <w:widowControl/>
              <w:snapToGrid w:val="0"/>
              <w:spacing w:line="240" w:lineRule="auto"/>
              <w:ind w:firstLine="0"/>
              <w:contextualSpacing/>
              <w:jc w:val="center"/>
              <w:rPr>
                <w:rFonts w:eastAsia="黑体"/>
                <w:bCs/>
                <w:kern w:val="0"/>
                <w:sz w:val="24"/>
                <w:szCs w:val="24"/>
                <w:lang w:val="en-GB"/>
              </w:rPr>
            </w:pPr>
            <w:r w:rsidRPr="00E73ED7">
              <w:rPr>
                <w:rFonts w:hint="eastAsia"/>
                <w:color w:val="000000"/>
                <w:kern w:val="0"/>
                <w:sz w:val="28"/>
                <w:szCs w:val="24"/>
              </w:rPr>
              <w:t>日</w:t>
            </w:r>
          </w:p>
        </w:tc>
        <w:tc>
          <w:tcPr>
            <w:tcW w:w="932" w:type="dxa"/>
            <w:tcBorders>
              <w:left w:val="nil"/>
            </w:tcBorders>
            <w:shd w:val="clear" w:color="auto" w:fill="auto"/>
            <w:vAlign w:val="bottom"/>
          </w:tcPr>
          <w:p w14:paraId="71E5BB32" w14:textId="77777777" w:rsidR="00E73ED7" w:rsidRPr="00E73ED7" w:rsidRDefault="00E73ED7" w:rsidP="00E73ED7">
            <w:pPr>
              <w:widowControl/>
              <w:snapToGrid w:val="0"/>
              <w:spacing w:line="240" w:lineRule="auto"/>
              <w:ind w:firstLine="0"/>
              <w:contextualSpacing/>
              <w:jc w:val="center"/>
              <w:rPr>
                <w:rFonts w:eastAsia="黑体"/>
                <w:bCs/>
                <w:kern w:val="0"/>
                <w:sz w:val="24"/>
                <w:szCs w:val="24"/>
                <w:lang w:val="en-GB"/>
              </w:rPr>
            </w:pPr>
          </w:p>
        </w:tc>
      </w:tr>
    </w:tbl>
    <w:p w14:paraId="09E3414F" w14:textId="77777777" w:rsidR="00E73ED7" w:rsidRPr="004E5DFD" w:rsidRDefault="00E73ED7" w:rsidP="00E73ED7">
      <w:pPr>
        <w:snapToGrid w:val="0"/>
        <w:ind w:firstLine="0"/>
        <w:rPr>
          <w:color w:val="000000"/>
          <w:kern w:val="0"/>
          <w:sz w:val="28"/>
          <w:szCs w:val="24"/>
        </w:rPr>
      </w:pPr>
    </w:p>
    <w:p w14:paraId="30A0D2E6" w14:textId="77777777" w:rsidR="006146D6" w:rsidRPr="00682477" w:rsidRDefault="006146D6" w:rsidP="005661DE">
      <w:pPr>
        <w:spacing w:line="480" w:lineRule="exact"/>
        <w:ind w:firstLine="480"/>
        <w:rPr>
          <w:rFonts w:ascii="Calibri" w:hAnsi="Calibri" w:cs="Calibri"/>
        </w:rPr>
      </w:pPr>
    </w:p>
    <w:p w14:paraId="24C7988C" w14:textId="77777777" w:rsidR="009E688C" w:rsidRPr="005661DE" w:rsidRDefault="009E688C" w:rsidP="00B16142">
      <w:pPr>
        <w:snapToGrid w:val="0"/>
        <w:spacing w:line="240" w:lineRule="auto"/>
        <w:ind w:firstLine="0"/>
        <w:jc w:val="center"/>
        <w:rPr>
          <w:rFonts w:ascii="黑体" w:eastAsia="黑体" w:hAnsi="黑体"/>
          <w:sz w:val="32"/>
          <w:szCs w:val="32"/>
        </w:rPr>
      </w:pPr>
      <w:r w:rsidRPr="005661DE">
        <w:rPr>
          <w:rFonts w:ascii="黑体" w:eastAsia="黑体" w:hAnsi="黑体" w:hint="eastAsia"/>
          <w:sz w:val="32"/>
          <w:szCs w:val="32"/>
        </w:rPr>
        <w:lastRenderedPageBreak/>
        <w:t>认罪认罚从宽制度下检察机关量刑建议权研究</w:t>
      </w:r>
    </w:p>
    <w:p w14:paraId="18340848" w14:textId="77777777" w:rsidR="009E688C" w:rsidRPr="005661DE" w:rsidRDefault="009E688C" w:rsidP="008C2522">
      <w:pPr>
        <w:snapToGrid w:val="0"/>
        <w:spacing w:line="240" w:lineRule="auto"/>
        <w:ind w:left="420" w:firstLine="0"/>
      </w:pPr>
    </w:p>
    <w:p w14:paraId="1F2E6855" w14:textId="77777777" w:rsidR="009E688C" w:rsidRPr="008E603D" w:rsidRDefault="009E688C" w:rsidP="008E603D">
      <w:pPr>
        <w:snapToGrid w:val="0"/>
        <w:spacing w:line="300" w:lineRule="auto"/>
        <w:ind w:firstLine="0"/>
        <w:rPr>
          <w:rFonts w:ascii="宋体" w:hAnsi="宋体"/>
        </w:rPr>
      </w:pPr>
      <w:r w:rsidRPr="005661DE">
        <w:rPr>
          <w:rFonts w:ascii="黑体" w:eastAsia="黑体" w:hAnsi="黑体" w:hint="eastAsia"/>
          <w:b/>
          <w:bCs/>
          <w:sz w:val="24"/>
          <w:szCs w:val="24"/>
        </w:rPr>
        <w:t>【摘</w:t>
      </w:r>
      <w:r w:rsidR="00315097" w:rsidRPr="005661DE">
        <w:rPr>
          <w:rFonts w:ascii="黑体" w:eastAsia="黑体" w:hAnsi="黑体" w:hint="eastAsia"/>
          <w:b/>
          <w:bCs/>
          <w:sz w:val="24"/>
          <w:szCs w:val="24"/>
        </w:rPr>
        <w:t xml:space="preserve">  </w:t>
      </w:r>
      <w:r w:rsidRPr="005661DE">
        <w:rPr>
          <w:rFonts w:ascii="黑体" w:eastAsia="黑体" w:hAnsi="黑体" w:hint="eastAsia"/>
          <w:b/>
          <w:bCs/>
          <w:sz w:val="24"/>
          <w:szCs w:val="24"/>
        </w:rPr>
        <w:t>要】</w:t>
      </w:r>
      <w:r w:rsidRPr="008E603D">
        <w:rPr>
          <w:rFonts w:ascii="宋体" w:hAnsi="宋体" w:hint="eastAsia"/>
        </w:rPr>
        <w:t>量刑建议权是指检察机关在刑事诉讼</w:t>
      </w:r>
      <w:r w:rsidR="0073266D" w:rsidRPr="008E603D">
        <w:rPr>
          <w:rFonts w:ascii="宋体" w:hAnsi="宋体" w:hint="eastAsia"/>
        </w:rPr>
        <w:t>活动</w:t>
      </w:r>
      <w:r w:rsidRPr="008E603D">
        <w:rPr>
          <w:rFonts w:ascii="宋体" w:hAnsi="宋体" w:hint="eastAsia"/>
        </w:rPr>
        <w:t>中，根据被告人实施的犯罪行为、犯罪情节和社会危害程度，就被告人所应判处的刑罚向审判机关提出意见、建议的一种权力。</w:t>
      </w:r>
      <w:r w:rsidRPr="008E603D">
        <w:rPr>
          <w:rFonts w:ascii="宋体" w:hAnsi="宋体"/>
        </w:rPr>
        <w:t>2018</w:t>
      </w:r>
      <w:r w:rsidRPr="008E603D">
        <w:rPr>
          <w:rFonts w:ascii="宋体" w:hAnsi="宋体" w:hint="eastAsia"/>
        </w:rPr>
        <w:t>年修改的《刑事诉讼法》从立法上对认罪认罚从宽制度和量刑建议权予以确认。量刑建议权具有自愿性、协商性</w:t>
      </w:r>
      <w:r w:rsidR="00B76BF7" w:rsidRPr="008E603D">
        <w:rPr>
          <w:rFonts w:ascii="宋体" w:hAnsi="宋体" w:hint="eastAsia"/>
        </w:rPr>
        <w:t>和</w:t>
      </w:r>
      <w:r w:rsidRPr="008E603D">
        <w:rPr>
          <w:rFonts w:ascii="宋体" w:hAnsi="宋体" w:hint="eastAsia"/>
        </w:rPr>
        <w:t>预决性的特点。在认罪认罚从宽制度下检察机关行使量刑建议权取得了重大进展，但也存在着量刑建议模式选择不合理、量刑建议实体标准不统一、量刑协商程序缺位、权力监督制约力度不够和量刑建议说理机制缺失等问题。检察机关应当针对存在的问题，进一步强化量刑建议权的完善，从而有效推进认罪认罚从宽制度的全面实施。</w:t>
      </w:r>
    </w:p>
    <w:p w14:paraId="526544DE" w14:textId="77777777" w:rsidR="005661DE" w:rsidRDefault="005661DE" w:rsidP="008E603D">
      <w:pPr>
        <w:snapToGrid w:val="0"/>
        <w:spacing w:line="300" w:lineRule="auto"/>
        <w:ind w:firstLine="0"/>
        <w:rPr>
          <w:rFonts w:ascii="KaiTi" w:eastAsia="KaiTi" w:hAnsi="KaiTi"/>
        </w:rPr>
      </w:pPr>
    </w:p>
    <w:p w14:paraId="120FD723" w14:textId="77777777" w:rsidR="009E688C" w:rsidRPr="008E603D" w:rsidRDefault="009E688C" w:rsidP="008E603D">
      <w:pPr>
        <w:snapToGrid w:val="0"/>
        <w:spacing w:line="300" w:lineRule="auto"/>
        <w:ind w:firstLine="0"/>
        <w:rPr>
          <w:rFonts w:ascii="宋体" w:hAnsi="宋体"/>
        </w:rPr>
      </w:pPr>
      <w:r w:rsidRPr="005661DE">
        <w:rPr>
          <w:rFonts w:ascii="黑体" w:eastAsia="黑体" w:hAnsi="黑体" w:hint="eastAsia"/>
          <w:b/>
          <w:bCs/>
          <w:sz w:val="24"/>
          <w:szCs w:val="24"/>
        </w:rPr>
        <w:t>【关键词】</w:t>
      </w:r>
      <w:r w:rsidRPr="008E603D">
        <w:rPr>
          <w:rFonts w:ascii="宋体" w:hAnsi="宋体" w:hint="eastAsia"/>
        </w:rPr>
        <w:t>认罪认罚从宽制度，检察机关，量刑建议权</w:t>
      </w:r>
    </w:p>
    <w:p w14:paraId="04BD0F11" w14:textId="77777777" w:rsidR="005661DE" w:rsidRDefault="005661DE" w:rsidP="008C2522">
      <w:pPr>
        <w:snapToGrid w:val="0"/>
        <w:spacing w:line="240" w:lineRule="auto"/>
        <w:ind w:firstLine="0"/>
        <w:rPr>
          <w:rFonts w:ascii="KaiTi" w:eastAsia="KaiTi" w:hAnsi="KaiTi"/>
        </w:rPr>
      </w:pPr>
    </w:p>
    <w:p w14:paraId="63F7BF3D" w14:textId="77777777" w:rsidR="005661DE" w:rsidRPr="005661DE" w:rsidRDefault="005661DE" w:rsidP="008C2522">
      <w:pPr>
        <w:snapToGrid w:val="0"/>
        <w:spacing w:line="240" w:lineRule="auto"/>
        <w:ind w:firstLine="0"/>
        <w:rPr>
          <w:rFonts w:ascii="KaiTi" w:eastAsia="KaiTi" w:hAnsi="KaiTi"/>
        </w:rPr>
      </w:pPr>
    </w:p>
    <w:p w14:paraId="32706C9D" w14:textId="77777777" w:rsidR="009E688C" w:rsidRDefault="009E688C" w:rsidP="002513C6">
      <w:pPr>
        <w:snapToGrid w:val="0"/>
        <w:spacing w:line="300" w:lineRule="auto"/>
        <w:ind w:firstLine="0"/>
      </w:pPr>
      <w:r w:rsidRPr="005661DE">
        <w:rPr>
          <w:b/>
          <w:bCs/>
          <w:sz w:val="24"/>
          <w:szCs w:val="24"/>
        </w:rPr>
        <w:t>【</w:t>
      </w:r>
      <w:r w:rsidRPr="005661DE">
        <w:rPr>
          <w:b/>
          <w:bCs/>
          <w:sz w:val="24"/>
          <w:szCs w:val="24"/>
        </w:rPr>
        <w:t>ABSTRACT</w:t>
      </w:r>
      <w:r w:rsidRPr="005661DE">
        <w:rPr>
          <w:b/>
          <w:bCs/>
          <w:sz w:val="24"/>
          <w:szCs w:val="24"/>
        </w:rPr>
        <w:t>】</w:t>
      </w:r>
      <w:r w:rsidRPr="005661DE">
        <w:t>The right to sentencing advice refers to the power of the procuratorate to submit opinions and suggestions to the judicial organs on the punishment that the defendant should be sentenced according to the crimes committed by defendant, the circumstances and the degree of social harm. “The Criminal Procedure Law” amended in 2018 has confirmed legislatively the admission of guilt and acceptance of punishment and the right to sentencing advice. The right to sentencing advi</w:t>
      </w:r>
      <w:r w:rsidR="00B76BF7" w:rsidRPr="005661DE">
        <w:t>ce is centralized, consultative</w:t>
      </w:r>
      <w:r w:rsidRPr="005661DE">
        <w:t xml:space="preserve"> and pre-determined. Under the lenient system of admission of guilt and acceptance of punishment, the procuratorate have made significant progress in exercising their right to sentencing advice. However, there are also some problems such as unreasonable choices in sentencing advice models, inconsistent entity standards for sentencing advice, absence of sentencing advice procedures, insufficient power oversight and lack of mechanism in sentencing advice. Aiming at the existing problems, the procuratorate should further strengthen the improvement of the right to sentencing advice, thereby effectively promoting the full implementation of the leniency system for admission of guilt and acceptance of punishment.</w:t>
      </w:r>
    </w:p>
    <w:p w14:paraId="1E039AA1" w14:textId="77777777" w:rsidR="005661DE" w:rsidRPr="005661DE" w:rsidRDefault="005661DE" w:rsidP="002513C6">
      <w:pPr>
        <w:snapToGrid w:val="0"/>
        <w:spacing w:line="300" w:lineRule="auto"/>
        <w:ind w:firstLine="0"/>
      </w:pPr>
    </w:p>
    <w:p w14:paraId="0B4FD2EE" w14:textId="77777777" w:rsidR="009E688C" w:rsidRPr="005661DE" w:rsidRDefault="009E688C" w:rsidP="002513C6">
      <w:pPr>
        <w:snapToGrid w:val="0"/>
        <w:spacing w:line="300" w:lineRule="auto"/>
        <w:ind w:firstLine="0"/>
      </w:pPr>
      <w:r w:rsidRPr="005661DE">
        <w:rPr>
          <w:rFonts w:hint="eastAsia"/>
          <w:b/>
          <w:bCs/>
          <w:sz w:val="24"/>
          <w:szCs w:val="24"/>
        </w:rPr>
        <w:t>【</w:t>
      </w:r>
      <w:r w:rsidRPr="005661DE">
        <w:rPr>
          <w:b/>
          <w:bCs/>
          <w:sz w:val="24"/>
          <w:szCs w:val="24"/>
        </w:rPr>
        <w:t>KEY WORDS</w:t>
      </w:r>
      <w:r w:rsidRPr="005661DE">
        <w:rPr>
          <w:rFonts w:hint="eastAsia"/>
          <w:b/>
          <w:bCs/>
          <w:sz w:val="24"/>
          <w:szCs w:val="24"/>
        </w:rPr>
        <w:t>】</w:t>
      </w:r>
      <w:r w:rsidRPr="005661DE">
        <w:t>The system of lenient punishment for admission of guilt and acceptance of punishment, Procuratorate, Right to sentencing advice</w:t>
      </w:r>
    </w:p>
    <w:p w14:paraId="105BB008" w14:textId="77777777" w:rsidR="009E688C" w:rsidRPr="005661DE" w:rsidRDefault="009E688C" w:rsidP="002513C6">
      <w:pPr>
        <w:snapToGrid w:val="0"/>
        <w:spacing w:line="300" w:lineRule="auto"/>
        <w:ind w:left="420" w:firstLine="0"/>
      </w:pPr>
    </w:p>
    <w:p w14:paraId="287CE5E5" w14:textId="77777777" w:rsidR="005661DE" w:rsidRPr="005661DE" w:rsidRDefault="005661DE" w:rsidP="008C2522">
      <w:pPr>
        <w:pStyle w:val="TOC1"/>
        <w:spacing w:line="360" w:lineRule="auto"/>
      </w:pPr>
      <w:bookmarkStart w:id="0" w:name="_Toc36842036"/>
      <w:r>
        <w:br w:type="page"/>
      </w:r>
      <w:r w:rsidRPr="005661DE">
        <w:rPr>
          <w:rFonts w:hint="eastAsia"/>
        </w:rPr>
        <w:lastRenderedPageBreak/>
        <w:t xml:space="preserve">目 </w:t>
      </w:r>
      <w:r w:rsidRPr="005661DE">
        <w:t xml:space="preserve"> </w:t>
      </w:r>
      <w:r w:rsidRPr="005661DE">
        <w:rPr>
          <w:rFonts w:hint="eastAsia"/>
        </w:rPr>
        <w:t>录</w:t>
      </w:r>
    </w:p>
    <w:p w14:paraId="5A8C4480" w14:textId="77777777" w:rsidR="005661DE" w:rsidRPr="005661DE" w:rsidRDefault="005661DE" w:rsidP="008C2522">
      <w:pPr>
        <w:pStyle w:val="TOC1"/>
        <w:spacing w:line="360" w:lineRule="auto"/>
        <w:jc w:val="left"/>
        <w:rPr>
          <w:rFonts w:ascii="宋体" w:eastAsia="宋体" w:hAnsi="宋体"/>
          <w:sz w:val="21"/>
          <w:szCs w:val="21"/>
        </w:rPr>
      </w:pPr>
    </w:p>
    <w:p w14:paraId="522CD930" w14:textId="77777777" w:rsidR="005661DE" w:rsidRPr="005661DE" w:rsidRDefault="005661DE" w:rsidP="008C2522">
      <w:pPr>
        <w:pStyle w:val="TOC1"/>
        <w:spacing w:line="360" w:lineRule="auto"/>
        <w:jc w:val="left"/>
        <w:rPr>
          <w:rFonts w:ascii="宋体" w:eastAsia="宋体" w:hAnsi="宋体"/>
          <w:sz w:val="21"/>
          <w:szCs w:val="21"/>
        </w:rPr>
      </w:pPr>
    </w:p>
    <w:p w14:paraId="1D94D57D" w14:textId="6445176A" w:rsidR="005661DE" w:rsidRPr="005661DE" w:rsidRDefault="005661DE" w:rsidP="008C2522">
      <w:pPr>
        <w:pStyle w:val="TOC1"/>
        <w:spacing w:line="360" w:lineRule="auto"/>
        <w:ind w:firstLine="0"/>
        <w:jc w:val="both"/>
        <w:rPr>
          <w:rFonts w:ascii="宋体" w:eastAsia="宋体" w:hAnsi="宋体"/>
          <w:noProof/>
          <w:sz w:val="21"/>
          <w:szCs w:val="21"/>
        </w:rPr>
      </w:pPr>
      <w:r w:rsidRPr="005661DE">
        <w:fldChar w:fldCharType="begin"/>
      </w:r>
      <w:r w:rsidRPr="005661DE">
        <w:instrText xml:space="preserve"> </w:instrText>
      </w:r>
      <w:r w:rsidRPr="005661DE">
        <w:rPr>
          <w:rFonts w:hint="eastAsia"/>
        </w:rPr>
        <w:instrText>TOC \o "1-2" \h \z \u</w:instrText>
      </w:r>
      <w:r w:rsidRPr="005661DE">
        <w:instrText xml:space="preserve"> </w:instrText>
      </w:r>
      <w:r w:rsidRPr="005661DE">
        <w:fldChar w:fldCharType="separate"/>
      </w:r>
      <w:hyperlink w:anchor="_Toc36844708" w:history="1">
        <w:r w:rsidRPr="005661DE">
          <w:rPr>
            <w:rStyle w:val="ab"/>
            <w:rFonts w:ascii="宋体" w:eastAsia="宋体" w:hAnsi="宋体"/>
            <w:noProof/>
            <w:sz w:val="21"/>
            <w:szCs w:val="21"/>
          </w:rPr>
          <w:t>导  论</w:t>
        </w:r>
        <w:r w:rsidRPr="005661DE">
          <w:rPr>
            <w:rFonts w:ascii="宋体" w:eastAsia="宋体" w:hAnsi="宋体"/>
            <w:noProof/>
            <w:webHidden/>
            <w:sz w:val="21"/>
            <w:szCs w:val="21"/>
          </w:rPr>
          <w:tab/>
        </w:r>
        <w:r w:rsidRPr="005661DE">
          <w:rPr>
            <w:rFonts w:ascii="宋体" w:eastAsia="宋体" w:hAnsi="宋体"/>
            <w:noProof/>
            <w:webHidden/>
            <w:sz w:val="21"/>
            <w:szCs w:val="21"/>
          </w:rPr>
          <w:fldChar w:fldCharType="begin"/>
        </w:r>
        <w:r w:rsidRPr="005661DE">
          <w:rPr>
            <w:rFonts w:ascii="宋体" w:eastAsia="宋体" w:hAnsi="宋体"/>
            <w:noProof/>
            <w:webHidden/>
            <w:sz w:val="21"/>
            <w:szCs w:val="21"/>
          </w:rPr>
          <w:instrText xml:space="preserve"> PAGEREF _Toc36844708 \h </w:instrText>
        </w:r>
        <w:r w:rsidRPr="005661DE">
          <w:rPr>
            <w:rFonts w:ascii="宋体" w:eastAsia="宋体" w:hAnsi="宋体"/>
            <w:noProof/>
            <w:webHidden/>
            <w:sz w:val="21"/>
            <w:szCs w:val="21"/>
          </w:rPr>
        </w:r>
        <w:r w:rsidRPr="005661DE">
          <w:rPr>
            <w:rFonts w:ascii="宋体" w:eastAsia="宋体" w:hAnsi="宋体"/>
            <w:noProof/>
            <w:webHidden/>
            <w:sz w:val="21"/>
            <w:szCs w:val="21"/>
          </w:rPr>
          <w:fldChar w:fldCharType="separate"/>
        </w:r>
        <w:r w:rsidR="00012108">
          <w:rPr>
            <w:rFonts w:ascii="宋体" w:eastAsia="宋体" w:hAnsi="宋体"/>
            <w:noProof/>
            <w:webHidden/>
            <w:sz w:val="21"/>
            <w:szCs w:val="21"/>
          </w:rPr>
          <w:t>1</w:t>
        </w:r>
        <w:r w:rsidRPr="005661DE">
          <w:rPr>
            <w:rFonts w:ascii="宋体" w:eastAsia="宋体" w:hAnsi="宋体"/>
            <w:noProof/>
            <w:webHidden/>
            <w:sz w:val="21"/>
            <w:szCs w:val="21"/>
          </w:rPr>
          <w:fldChar w:fldCharType="end"/>
        </w:r>
      </w:hyperlink>
    </w:p>
    <w:p w14:paraId="71CEE816" w14:textId="017BEA75" w:rsidR="005661DE" w:rsidRPr="005661DE" w:rsidRDefault="004A7CBD" w:rsidP="008C2522">
      <w:pPr>
        <w:pStyle w:val="TOC2"/>
        <w:snapToGrid w:val="0"/>
        <w:ind w:leftChars="0" w:left="0"/>
        <w:rPr>
          <w:rFonts w:ascii="宋体" w:hAnsi="宋体"/>
          <w:noProof/>
        </w:rPr>
      </w:pPr>
      <w:hyperlink w:anchor="_Toc36844709" w:history="1">
        <w:r w:rsidR="005661DE" w:rsidRPr="005661DE">
          <w:rPr>
            <w:rStyle w:val="ab"/>
            <w:rFonts w:ascii="宋体" w:hAnsi="宋体"/>
            <w:noProof/>
          </w:rPr>
          <w:t>（一）选题的目的及意义</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_Toc36844709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w:t>
        </w:r>
        <w:r w:rsidR="005661DE" w:rsidRPr="005661DE">
          <w:rPr>
            <w:rFonts w:ascii="宋体" w:hAnsi="宋体"/>
            <w:noProof/>
            <w:webHidden/>
          </w:rPr>
          <w:fldChar w:fldCharType="end"/>
        </w:r>
      </w:hyperlink>
    </w:p>
    <w:p w14:paraId="29AA7F5E" w14:textId="395172CD" w:rsidR="005661DE" w:rsidRPr="005661DE" w:rsidRDefault="004A7CBD" w:rsidP="008C2522">
      <w:pPr>
        <w:pStyle w:val="TOC2"/>
        <w:snapToGrid w:val="0"/>
        <w:ind w:leftChars="0" w:left="0"/>
        <w:rPr>
          <w:rFonts w:ascii="宋体" w:hAnsi="宋体"/>
          <w:noProof/>
        </w:rPr>
      </w:pPr>
      <w:hyperlink w:anchor="_Toc36844710" w:history="1">
        <w:r w:rsidR="00244D89">
          <w:rPr>
            <w:rStyle w:val="ab"/>
            <w:rFonts w:ascii="宋体" w:hAnsi="宋体"/>
            <w:noProof/>
          </w:rPr>
          <w:t>（二）</w:t>
        </w:r>
        <w:r w:rsidR="00244D89">
          <w:rPr>
            <w:rStyle w:val="ab"/>
            <w:rFonts w:ascii="宋体" w:hAnsi="宋体" w:hint="eastAsia"/>
            <w:noProof/>
          </w:rPr>
          <w:t>相关研究述评</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_Toc36844710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w:t>
        </w:r>
        <w:r w:rsidR="005661DE" w:rsidRPr="005661DE">
          <w:rPr>
            <w:rFonts w:ascii="宋体" w:hAnsi="宋体"/>
            <w:noProof/>
            <w:webHidden/>
          </w:rPr>
          <w:fldChar w:fldCharType="end"/>
        </w:r>
      </w:hyperlink>
    </w:p>
    <w:p w14:paraId="0CE4F7DE" w14:textId="071DF736" w:rsidR="005661DE" w:rsidRPr="005661DE" w:rsidRDefault="004A7CBD" w:rsidP="008C2522">
      <w:pPr>
        <w:pStyle w:val="TOC2"/>
        <w:snapToGrid w:val="0"/>
        <w:ind w:leftChars="0" w:left="0"/>
        <w:rPr>
          <w:rFonts w:ascii="宋体" w:hAnsi="宋体"/>
          <w:noProof/>
        </w:rPr>
      </w:pPr>
      <w:hyperlink w:anchor="_Toc36844711" w:history="1">
        <w:r w:rsidR="005661DE" w:rsidRPr="005661DE">
          <w:rPr>
            <w:rStyle w:val="ab"/>
            <w:rFonts w:ascii="宋体" w:hAnsi="宋体"/>
            <w:noProof/>
          </w:rPr>
          <w:t>（三）研究的主要内容与方法</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_Toc36844711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2</w:t>
        </w:r>
        <w:r w:rsidR="005661DE" w:rsidRPr="005661DE">
          <w:rPr>
            <w:rFonts w:ascii="宋体" w:hAnsi="宋体"/>
            <w:noProof/>
            <w:webHidden/>
          </w:rPr>
          <w:fldChar w:fldCharType="end"/>
        </w:r>
      </w:hyperlink>
    </w:p>
    <w:p w14:paraId="4705B466" w14:textId="7C012E4E"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12" w:history="1">
        <w:r w:rsidR="005661DE" w:rsidRPr="005661DE">
          <w:rPr>
            <w:rStyle w:val="ab"/>
            <w:rFonts w:ascii="宋体" w:eastAsia="宋体" w:hAnsi="宋体"/>
            <w:noProof/>
            <w:sz w:val="21"/>
            <w:szCs w:val="21"/>
          </w:rPr>
          <w:t>一、认罪认罚从宽制度下检察机关量刑建议权的</w:t>
        </w:r>
        <w:r w:rsidR="00562981">
          <w:rPr>
            <w:rStyle w:val="ab"/>
            <w:rFonts w:ascii="宋体" w:eastAsia="宋体" w:hAnsi="宋体" w:hint="eastAsia"/>
            <w:noProof/>
            <w:sz w:val="21"/>
            <w:szCs w:val="21"/>
          </w:rPr>
          <w:t>沿革</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_Toc36844712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3</w:t>
        </w:r>
        <w:r w:rsidR="005661DE" w:rsidRPr="005661DE">
          <w:rPr>
            <w:rFonts w:ascii="宋体" w:eastAsia="宋体" w:hAnsi="宋体"/>
            <w:noProof/>
            <w:webHidden/>
            <w:sz w:val="21"/>
            <w:szCs w:val="21"/>
          </w:rPr>
          <w:fldChar w:fldCharType="end"/>
        </w:r>
      </w:hyperlink>
    </w:p>
    <w:p w14:paraId="40E68219" w14:textId="53ED7EE5" w:rsidR="005661DE" w:rsidRPr="005661DE" w:rsidRDefault="004A7CBD" w:rsidP="008C2522">
      <w:pPr>
        <w:pStyle w:val="TOC2"/>
        <w:snapToGrid w:val="0"/>
        <w:ind w:leftChars="0" w:left="0"/>
        <w:rPr>
          <w:rFonts w:ascii="宋体" w:hAnsi="宋体"/>
          <w:noProof/>
        </w:rPr>
      </w:pPr>
      <w:hyperlink w:anchor="_Toc36844713" w:history="1">
        <w:r w:rsidR="005661DE" w:rsidRPr="005661DE">
          <w:rPr>
            <w:rStyle w:val="ab"/>
            <w:rFonts w:ascii="宋体" w:hAnsi="宋体"/>
            <w:noProof/>
          </w:rPr>
          <w:t>（一）检察机关量刑建议权的</w:t>
        </w:r>
        <w:r w:rsidR="00562981">
          <w:rPr>
            <w:rStyle w:val="ab"/>
            <w:rFonts w:ascii="宋体" w:hAnsi="宋体" w:hint="eastAsia"/>
            <w:noProof/>
          </w:rPr>
          <w:t>变迁</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_Toc36844713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3</w:t>
        </w:r>
        <w:r w:rsidR="005661DE" w:rsidRPr="005661DE">
          <w:rPr>
            <w:rFonts w:ascii="宋体" w:hAnsi="宋体"/>
            <w:noProof/>
            <w:webHidden/>
          </w:rPr>
          <w:fldChar w:fldCharType="end"/>
        </w:r>
      </w:hyperlink>
    </w:p>
    <w:p w14:paraId="6619D923" w14:textId="342054C0" w:rsidR="005661DE" w:rsidRPr="005661DE" w:rsidRDefault="004A7CBD" w:rsidP="008C2522">
      <w:pPr>
        <w:pStyle w:val="TOC2"/>
        <w:snapToGrid w:val="0"/>
        <w:ind w:leftChars="0" w:left="0"/>
        <w:rPr>
          <w:rFonts w:ascii="宋体" w:hAnsi="宋体"/>
          <w:noProof/>
        </w:rPr>
      </w:pPr>
      <w:hyperlink w:anchor="_Toc36844714" w:history="1">
        <w:r w:rsidR="005661DE" w:rsidRPr="005661DE">
          <w:rPr>
            <w:rStyle w:val="ab"/>
            <w:rFonts w:ascii="宋体" w:hAnsi="宋体"/>
            <w:noProof/>
          </w:rPr>
          <w:t>（二）认罪认罚从宽制度下检察机关量刑建议权的新进展</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_Toc36844714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4</w:t>
        </w:r>
        <w:r w:rsidR="005661DE" w:rsidRPr="005661DE">
          <w:rPr>
            <w:rFonts w:ascii="宋体" w:hAnsi="宋体"/>
            <w:noProof/>
            <w:webHidden/>
          </w:rPr>
          <w:fldChar w:fldCharType="end"/>
        </w:r>
      </w:hyperlink>
    </w:p>
    <w:p w14:paraId="08AC0EAD" w14:textId="30DAFF57"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15" w:history="1">
        <w:r w:rsidR="005661DE" w:rsidRPr="005661DE">
          <w:rPr>
            <w:rStyle w:val="ab"/>
            <w:rFonts w:ascii="宋体" w:eastAsia="宋体" w:hAnsi="宋体"/>
            <w:noProof/>
            <w:sz w:val="21"/>
            <w:szCs w:val="21"/>
          </w:rPr>
          <w:t>二、认罪认罚从宽视野下量刑建议权的性质</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_Toc36844715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5</w:t>
        </w:r>
        <w:r w:rsidR="005661DE" w:rsidRPr="005661DE">
          <w:rPr>
            <w:rFonts w:ascii="宋体" w:eastAsia="宋体" w:hAnsi="宋体"/>
            <w:noProof/>
            <w:webHidden/>
            <w:sz w:val="21"/>
            <w:szCs w:val="21"/>
          </w:rPr>
          <w:fldChar w:fldCharType="end"/>
        </w:r>
      </w:hyperlink>
    </w:p>
    <w:p w14:paraId="4BBBB918" w14:textId="295466F3" w:rsidR="005661DE" w:rsidRPr="005661DE" w:rsidRDefault="004A7CBD" w:rsidP="008C2522">
      <w:pPr>
        <w:pStyle w:val="TOC2"/>
        <w:snapToGrid w:val="0"/>
        <w:ind w:leftChars="0" w:left="0"/>
        <w:rPr>
          <w:rFonts w:ascii="宋体" w:hAnsi="宋体"/>
          <w:noProof/>
        </w:rPr>
      </w:pPr>
      <w:hyperlink w:anchor="_Toc36844716" w:history="1">
        <w:r w:rsidR="005661DE" w:rsidRPr="005661DE">
          <w:rPr>
            <w:rStyle w:val="ab"/>
            <w:rFonts w:ascii="宋体" w:hAnsi="宋体"/>
            <w:noProof/>
          </w:rPr>
          <w:t>（一）建议前提的自愿性</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_Toc36844716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5</w:t>
        </w:r>
        <w:r w:rsidR="005661DE" w:rsidRPr="005661DE">
          <w:rPr>
            <w:rFonts w:ascii="宋体" w:hAnsi="宋体"/>
            <w:noProof/>
            <w:webHidden/>
          </w:rPr>
          <w:fldChar w:fldCharType="end"/>
        </w:r>
      </w:hyperlink>
    </w:p>
    <w:p w14:paraId="7BB8BB09" w14:textId="6B93EA2E" w:rsidR="005661DE" w:rsidRPr="005661DE" w:rsidRDefault="004A7CBD" w:rsidP="008C2522">
      <w:pPr>
        <w:pStyle w:val="TOC2"/>
        <w:snapToGrid w:val="0"/>
        <w:ind w:leftChars="0" w:left="0"/>
        <w:rPr>
          <w:rFonts w:ascii="宋体" w:hAnsi="宋体"/>
          <w:noProof/>
        </w:rPr>
      </w:pPr>
      <w:hyperlink w:anchor="_Toc36844717" w:history="1">
        <w:r w:rsidR="005661DE" w:rsidRPr="005661DE">
          <w:rPr>
            <w:rStyle w:val="ab"/>
            <w:rFonts w:ascii="宋体" w:hAnsi="宋体"/>
            <w:noProof/>
          </w:rPr>
          <w:t>（二）建议达成的协商性</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_Toc36844717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6</w:t>
        </w:r>
        <w:r w:rsidR="005661DE" w:rsidRPr="005661DE">
          <w:rPr>
            <w:rFonts w:ascii="宋体" w:hAnsi="宋体"/>
            <w:noProof/>
            <w:webHidden/>
          </w:rPr>
          <w:fldChar w:fldCharType="end"/>
        </w:r>
      </w:hyperlink>
    </w:p>
    <w:p w14:paraId="78EC48FE" w14:textId="41E36C3E" w:rsidR="005661DE" w:rsidRPr="005661DE" w:rsidRDefault="004A7CBD" w:rsidP="008C2522">
      <w:pPr>
        <w:pStyle w:val="TOC2"/>
        <w:snapToGrid w:val="0"/>
        <w:ind w:leftChars="0" w:left="0"/>
        <w:rPr>
          <w:rFonts w:ascii="宋体" w:hAnsi="宋体"/>
          <w:noProof/>
        </w:rPr>
      </w:pPr>
      <w:hyperlink w:anchor="_Toc36844718" w:history="1">
        <w:r w:rsidR="005661DE" w:rsidRPr="005661DE">
          <w:rPr>
            <w:rStyle w:val="ab"/>
            <w:rFonts w:ascii="宋体" w:hAnsi="宋体"/>
            <w:noProof/>
          </w:rPr>
          <w:t>（三）建议效力的预决性</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_Toc36844718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6</w:t>
        </w:r>
        <w:r w:rsidR="005661DE" w:rsidRPr="005661DE">
          <w:rPr>
            <w:rFonts w:ascii="宋体" w:hAnsi="宋体"/>
            <w:noProof/>
            <w:webHidden/>
          </w:rPr>
          <w:fldChar w:fldCharType="end"/>
        </w:r>
      </w:hyperlink>
    </w:p>
    <w:p w14:paraId="1BB93AE0" w14:textId="7EAB08C4"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19" w:history="1">
        <w:r w:rsidR="005661DE" w:rsidRPr="005661DE">
          <w:rPr>
            <w:rStyle w:val="ab"/>
            <w:rFonts w:ascii="宋体" w:eastAsia="宋体" w:hAnsi="宋体"/>
            <w:noProof/>
            <w:sz w:val="21"/>
            <w:szCs w:val="21"/>
          </w:rPr>
          <w:t>三、域外认罪程序下量刑建议权之比较</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_Toc36844719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6</w:t>
        </w:r>
        <w:r w:rsidR="005661DE" w:rsidRPr="005661DE">
          <w:rPr>
            <w:rFonts w:ascii="宋体" w:eastAsia="宋体" w:hAnsi="宋体"/>
            <w:noProof/>
            <w:webHidden/>
            <w:sz w:val="21"/>
            <w:szCs w:val="21"/>
          </w:rPr>
          <w:fldChar w:fldCharType="end"/>
        </w:r>
      </w:hyperlink>
    </w:p>
    <w:p w14:paraId="2C146DEE" w14:textId="1F6363A1" w:rsidR="005661DE" w:rsidRPr="005661DE" w:rsidRDefault="004A7CBD" w:rsidP="008C2522">
      <w:pPr>
        <w:pStyle w:val="TOC2"/>
        <w:snapToGrid w:val="0"/>
        <w:ind w:leftChars="0" w:left="0"/>
        <w:rPr>
          <w:rFonts w:ascii="宋体" w:hAnsi="宋体"/>
          <w:noProof/>
        </w:rPr>
      </w:pPr>
      <w:hyperlink w:anchor="_Toc36844720" w:history="1">
        <w:r w:rsidR="005661DE" w:rsidRPr="005661DE">
          <w:rPr>
            <w:rStyle w:val="ab"/>
            <w:rFonts w:ascii="宋体" w:hAnsi="宋体"/>
            <w:noProof/>
          </w:rPr>
          <w:t>（一）各国认罪程序下量刑建议权的概况</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_Toc36844720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7</w:t>
        </w:r>
        <w:r w:rsidR="005661DE" w:rsidRPr="005661DE">
          <w:rPr>
            <w:rFonts w:ascii="宋体" w:hAnsi="宋体"/>
            <w:noProof/>
            <w:webHidden/>
          </w:rPr>
          <w:fldChar w:fldCharType="end"/>
        </w:r>
      </w:hyperlink>
    </w:p>
    <w:p w14:paraId="26CA1309" w14:textId="35379C31" w:rsidR="005661DE" w:rsidRPr="005661DE" w:rsidRDefault="004A7CBD" w:rsidP="008C2522">
      <w:pPr>
        <w:pStyle w:val="TOC2"/>
        <w:snapToGrid w:val="0"/>
        <w:ind w:leftChars="0" w:left="0"/>
        <w:rPr>
          <w:rFonts w:ascii="宋体" w:hAnsi="宋体"/>
          <w:noProof/>
        </w:rPr>
      </w:pPr>
      <w:hyperlink w:anchor="_Toc36844721" w:history="1">
        <w:r w:rsidR="005661DE" w:rsidRPr="005661DE">
          <w:rPr>
            <w:rStyle w:val="ab"/>
            <w:rFonts w:ascii="宋体" w:hAnsi="宋体"/>
            <w:noProof/>
          </w:rPr>
          <w:t>（二）域外量刑建议权之构成</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_Toc36844721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8</w:t>
        </w:r>
        <w:r w:rsidR="005661DE" w:rsidRPr="005661DE">
          <w:rPr>
            <w:rFonts w:ascii="宋体" w:hAnsi="宋体"/>
            <w:noProof/>
            <w:webHidden/>
          </w:rPr>
          <w:fldChar w:fldCharType="end"/>
        </w:r>
      </w:hyperlink>
    </w:p>
    <w:p w14:paraId="3149165D" w14:textId="296CB377" w:rsidR="005661DE" w:rsidRPr="005661DE" w:rsidRDefault="004A7CBD" w:rsidP="008C2522">
      <w:pPr>
        <w:pStyle w:val="TOC2"/>
        <w:snapToGrid w:val="0"/>
        <w:ind w:leftChars="0" w:left="0"/>
        <w:rPr>
          <w:rFonts w:ascii="宋体" w:hAnsi="宋体"/>
          <w:noProof/>
        </w:rPr>
      </w:pPr>
      <w:hyperlink w:anchor="_Toc36844722" w:history="1">
        <w:r w:rsidR="005661DE" w:rsidRPr="005661DE">
          <w:rPr>
            <w:rStyle w:val="ab"/>
            <w:rFonts w:ascii="宋体" w:hAnsi="宋体"/>
            <w:noProof/>
          </w:rPr>
          <w:t>（三）域外量刑建议权之借鉴</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_Toc36844722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9</w:t>
        </w:r>
        <w:r w:rsidR="005661DE" w:rsidRPr="005661DE">
          <w:rPr>
            <w:rFonts w:ascii="宋体" w:hAnsi="宋体"/>
            <w:noProof/>
            <w:webHidden/>
          </w:rPr>
          <w:fldChar w:fldCharType="end"/>
        </w:r>
      </w:hyperlink>
    </w:p>
    <w:p w14:paraId="5BEBBC4F" w14:textId="129CB619"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23" w:history="1">
        <w:r w:rsidR="005661DE" w:rsidRPr="005661DE">
          <w:rPr>
            <w:rStyle w:val="ab"/>
            <w:rFonts w:ascii="宋体" w:eastAsia="宋体" w:hAnsi="宋体"/>
            <w:noProof/>
            <w:sz w:val="21"/>
            <w:szCs w:val="21"/>
          </w:rPr>
          <w:t>四、认罪认罚从宽制度下量刑建议权的现状</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_Toc36844723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10</w:t>
        </w:r>
        <w:r w:rsidR="005661DE" w:rsidRPr="005661DE">
          <w:rPr>
            <w:rFonts w:ascii="宋体" w:eastAsia="宋体" w:hAnsi="宋体"/>
            <w:noProof/>
            <w:webHidden/>
            <w:sz w:val="21"/>
            <w:szCs w:val="21"/>
          </w:rPr>
          <w:fldChar w:fldCharType="end"/>
        </w:r>
      </w:hyperlink>
    </w:p>
    <w:p w14:paraId="7DA40A52" w14:textId="667EAA94" w:rsidR="005661DE" w:rsidRPr="005661DE" w:rsidRDefault="004A7CBD" w:rsidP="008C2522">
      <w:pPr>
        <w:pStyle w:val="TOC2"/>
        <w:snapToGrid w:val="0"/>
        <w:ind w:leftChars="0" w:left="0"/>
        <w:rPr>
          <w:rFonts w:ascii="宋体" w:hAnsi="宋体"/>
          <w:noProof/>
        </w:rPr>
      </w:pPr>
      <w:hyperlink w:anchor="_Toc36844724" w:history="1">
        <w:r w:rsidR="005661DE" w:rsidRPr="005661DE">
          <w:rPr>
            <w:rStyle w:val="ab"/>
            <w:rFonts w:ascii="宋体" w:hAnsi="宋体"/>
            <w:noProof/>
          </w:rPr>
          <w:t>（一）量刑建议权的立法规定</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_Toc36844724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10</w:t>
        </w:r>
        <w:r w:rsidR="005661DE" w:rsidRPr="005661DE">
          <w:rPr>
            <w:rFonts w:ascii="宋体" w:hAnsi="宋体"/>
            <w:noProof/>
            <w:webHidden/>
          </w:rPr>
          <w:fldChar w:fldCharType="end"/>
        </w:r>
      </w:hyperlink>
    </w:p>
    <w:p w14:paraId="192CF403" w14:textId="7E9795A4" w:rsidR="005661DE" w:rsidRPr="005661DE" w:rsidRDefault="004A7CBD" w:rsidP="008C2522">
      <w:pPr>
        <w:pStyle w:val="TOC2"/>
        <w:snapToGrid w:val="0"/>
        <w:ind w:leftChars="0" w:left="0"/>
        <w:rPr>
          <w:rFonts w:ascii="宋体" w:hAnsi="宋体"/>
          <w:noProof/>
        </w:rPr>
      </w:pPr>
      <w:hyperlink w:anchor="_Toc36844725" w:history="1">
        <w:r w:rsidR="005661DE" w:rsidRPr="005661DE">
          <w:rPr>
            <w:rStyle w:val="ab"/>
            <w:rFonts w:ascii="宋体" w:hAnsi="宋体"/>
            <w:noProof/>
          </w:rPr>
          <w:t>（二）量刑建议权的实践考察</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_Toc36844725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11</w:t>
        </w:r>
        <w:r w:rsidR="005661DE" w:rsidRPr="005661DE">
          <w:rPr>
            <w:rFonts w:ascii="宋体" w:hAnsi="宋体"/>
            <w:noProof/>
            <w:webHidden/>
          </w:rPr>
          <w:fldChar w:fldCharType="end"/>
        </w:r>
      </w:hyperlink>
    </w:p>
    <w:p w14:paraId="6C99D341" w14:textId="64954DEE"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26" w:history="1">
        <w:r w:rsidR="005661DE" w:rsidRPr="005661DE">
          <w:rPr>
            <w:rStyle w:val="ab"/>
            <w:rFonts w:ascii="宋体" w:eastAsia="宋体" w:hAnsi="宋体"/>
            <w:noProof/>
            <w:sz w:val="21"/>
            <w:szCs w:val="21"/>
          </w:rPr>
          <w:t>五、认罪认罚从宽制度下检察机关量刑建议权存在的问题</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_Toc36844726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12</w:t>
        </w:r>
        <w:r w:rsidR="005661DE" w:rsidRPr="005661DE">
          <w:rPr>
            <w:rFonts w:ascii="宋体" w:eastAsia="宋体" w:hAnsi="宋体"/>
            <w:noProof/>
            <w:webHidden/>
            <w:sz w:val="21"/>
            <w:szCs w:val="21"/>
          </w:rPr>
          <w:fldChar w:fldCharType="end"/>
        </w:r>
      </w:hyperlink>
    </w:p>
    <w:p w14:paraId="644A5F58" w14:textId="07ED1B17" w:rsidR="005661DE" w:rsidRPr="005661DE" w:rsidRDefault="004A7CBD" w:rsidP="008C2522">
      <w:pPr>
        <w:pStyle w:val="TOC2"/>
        <w:snapToGrid w:val="0"/>
        <w:ind w:leftChars="0" w:left="0"/>
        <w:rPr>
          <w:rFonts w:ascii="宋体" w:hAnsi="宋体"/>
          <w:noProof/>
        </w:rPr>
      </w:pPr>
      <w:hyperlink w:anchor="_Toc36844727" w:history="1">
        <w:r w:rsidR="005661DE" w:rsidRPr="005661DE">
          <w:rPr>
            <w:rStyle w:val="ab"/>
            <w:rFonts w:ascii="宋体" w:hAnsi="宋体"/>
            <w:noProof/>
          </w:rPr>
          <w:t>（一）量刑建议模式选择不合理</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_Toc36844727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12</w:t>
        </w:r>
        <w:r w:rsidR="005661DE" w:rsidRPr="005661DE">
          <w:rPr>
            <w:rFonts w:ascii="宋体" w:hAnsi="宋体"/>
            <w:noProof/>
            <w:webHidden/>
          </w:rPr>
          <w:fldChar w:fldCharType="end"/>
        </w:r>
      </w:hyperlink>
    </w:p>
    <w:p w14:paraId="1438A131" w14:textId="72A6C6CF" w:rsidR="005661DE" w:rsidRPr="005661DE" w:rsidRDefault="004A7CBD" w:rsidP="008C2522">
      <w:pPr>
        <w:pStyle w:val="TOC2"/>
        <w:snapToGrid w:val="0"/>
        <w:ind w:leftChars="0" w:left="0"/>
        <w:rPr>
          <w:rFonts w:ascii="宋体" w:hAnsi="宋体"/>
          <w:noProof/>
        </w:rPr>
      </w:pPr>
      <w:hyperlink w:anchor="_Toc36844728" w:history="1">
        <w:r w:rsidR="005661DE" w:rsidRPr="005661DE">
          <w:rPr>
            <w:rStyle w:val="ab"/>
            <w:rFonts w:ascii="宋体" w:hAnsi="宋体"/>
            <w:noProof/>
          </w:rPr>
          <w:t>（二）量刑建议实体标准不统一</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_Toc36844728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13</w:t>
        </w:r>
        <w:r w:rsidR="005661DE" w:rsidRPr="005661DE">
          <w:rPr>
            <w:rFonts w:ascii="宋体" w:hAnsi="宋体"/>
            <w:noProof/>
            <w:webHidden/>
          </w:rPr>
          <w:fldChar w:fldCharType="end"/>
        </w:r>
      </w:hyperlink>
    </w:p>
    <w:p w14:paraId="5B8C8FB1" w14:textId="4339F314" w:rsidR="005661DE" w:rsidRPr="005661DE" w:rsidRDefault="004A7CBD" w:rsidP="008C2522">
      <w:pPr>
        <w:pStyle w:val="TOC2"/>
        <w:snapToGrid w:val="0"/>
        <w:ind w:leftChars="0" w:left="0"/>
        <w:rPr>
          <w:rFonts w:ascii="宋体" w:hAnsi="宋体"/>
          <w:noProof/>
        </w:rPr>
      </w:pPr>
      <w:hyperlink w:anchor="_Toc36844729" w:history="1">
        <w:r w:rsidR="005661DE" w:rsidRPr="005661DE">
          <w:rPr>
            <w:rStyle w:val="ab"/>
            <w:rFonts w:ascii="宋体" w:hAnsi="宋体"/>
            <w:noProof/>
          </w:rPr>
          <w:t>（三）量刑协商程序缺位</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_Toc36844729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13</w:t>
        </w:r>
        <w:r w:rsidR="005661DE" w:rsidRPr="005661DE">
          <w:rPr>
            <w:rFonts w:ascii="宋体" w:hAnsi="宋体"/>
            <w:noProof/>
            <w:webHidden/>
          </w:rPr>
          <w:fldChar w:fldCharType="end"/>
        </w:r>
      </w:hyperlink>
    </w:p>
    <w:p w14:paraId="3A7170AA" w14:textId="2B373DD1" w:rsidR="005661DE" w:rsidRPr="005661DE" w:rsidRDefault="004A7CBD" w:rsidP="008C2522">
      <w:pPr>
        <w:pStyle w:val="TOC2"/>
        <w:snapToGrid w:val="0"/>
        <w:ind w:leftChars="0" w:left="0"/>
        <w:rPr>
          <w:rFonts w:ascii="宋体" w:hAnsi="宋体"/>
          <w:noProof/>
        </w:rPr>
      </w:pPr>
      <w:hyperlink w:anchor="_Toc36844730" w:history="1">
        <w:r w:rsidR="005661DE" w:rsidRPr="005661DE">
          <w:rPr>
            <w:rStyle w:val="ab"/>
            <w:rFonts w:ascii="宋体" w:hAnsi="宋体"/>
            <w:noProof/>
          </w:rPr>
          <w:t>（四）权力监督制约力度不够</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_Toc36844730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14</w:t>
        </w:r>
        <w:r w:rsidR="005661DE" w:rsidRPr="005661DE">
          <w:rPr>
            <w:rFonts w:ascii="宋体" w:hAnsi="宋体"/>
            <w:noProof/>
            <w:webHidden/>
          </w:rPr>
          <w:fldChar w:fldCharType="end"/>
        </w:r>
      </w:hyperlink>
    </w:p>
    <w:p w14:paraId="2CFBEACC" w14:textId="3330E164" w:rsidR="005661DE" w:rsidRPr="005661DE" w:rsidRDefault="004A7CBD" w:rsidP="008C2522">
      <w:pPr>
        <w:pStyle w:val="TOC2"/>
        <w:snapToGrid w:val="0"/>
        <w:ind w:leftChars="0" w:left="0"/>
        <w:rPr>
          <w:rFonts w:ascii="宋体" w:hAnsi="宋体"/>
          <w:noProof/>
        </w:rPr>
      </w:pPr>
      <w:hyperlink w:anchor="_Toc36844731" w:history="1">
        <w:r w:rsidR="005661DE" w:rsidRPr="005661DE">
          <w:rPr>
            <w:rStyle w:val="ab"/>
            <w:rFonts w:ascii="宋体" w:hAnsi="宋体"/>
            <w:noProof/>
          </w:rPr>
          <w:t>（五）量刑建议说理机制缺失</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_Toc36844731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15</w:t>
        </w:r>
        <w:r w:rsidR="005661DE" w:rsidRPr="005661DE">
          <w:rPr>
            <w:rFonts w:ascii="宋体" w:hAnsi="宋体"/>
            <w:noProof/>
            <w:webHidden/>
          </w:rPr>
          <w:fldChar w:fldCharType="end"/>
        </w:r>
      </w:hyperlink>
    </w:p>
    <w:p w14:paraId="576B610F" w14:textId="621061F9"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32" w:history="1">
        <w:r w:rsidR="005661DE" w:rsidRPr="005661DE">
          <w:rPr>
            <w:rStyle w:val="ab"/>
            <w:rFonts w:ascii="宋体" w:eastAsia="宋体" w:hAnsi="宋体"/>
            <w:noProof/>
            <w:sz w:val="21"/>
            <w:szCs w:val="21"/>
          </w:rPr>
          <w:t>六、认罪认罚从宽制度下检察机关量刑建议权之完善</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_Toc36844732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15</w:t>
        </w:r>
        <w:r w:rsidR="005661DE" w:rsidRPr="005661DE">
          <w:rPr>
            <w:rFonts w:ascii="宋体" w:eastAsia="宋体" w:hAnsi="宋体"/>
            <w:noProof/>
            <w:webHidden/>
            <w:sz w:val="21"/>
            <w:szCs w:val="21"/>
          </w:rPr>
          <w:fldChar w:fldCharType="end"/>
        </w:r>
      </w:hyperlink>
    </w:p>
    <w:p w14:paraId="4D776B31" w14:textId="7E7CE539" w:rsidR="005661DE" w:rsidRPr="005661DE" w:rsidRDefault="004A7CBD" w:rsidP="008C2522">
      <w:pPr>
        <w:pStyle w:val="TOC2"/>
        <w:snapToGrid w:val="0"/>
        <w:ind w:leftChars="0" w:left="0"/>
        <w:rPr>
          <w:rFonts w:ascii="宋体" w:hAnsi="宋体"/>
          <w:noProof/>
        </w:rPr>
      </w:pPr>
      <w:hyperlink w:anchor="_Toc36844733" w:history="1">
        <w:r w:rsidR="005661DE" w:rsidRPr="005661DE">
          <w:rPr>
            <w:rStyle w:val="ab"/>
            <w:rFonts w:ascii="宋体" w:hAnsi="宋体"/>
            <w:noProof/>
          </w:rPr>
          <w:t>（一）</w:t>
        </w:r>
        <w:r w:rsidR="002A21B9">
          <w:rPr>
            <w:rStyle w:val="ab"/>
            <w:rFonts w:ascii="宋体" w:hAnsi="宋体" w:hint="eastAsia"/>
            <w:noProof/>
          </w:rPr>
          <w:t>确定</w:t>
        </w:r>
        <w:r w:rsidR="005661DE" w:rsidRPr="005661DE">
          <w:rPr>
            <w:rStyle w:val="ab"/>
            <w:rFonts w:ascii="宋体" w:hAnsi="宋体"/>
            <w:noProof/>
          </w:rPr>
          <w:t>量刑建议模式，推进精准化量刑</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_Toc36844733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15</w:t>
        </w:r>
        <w:r w:rsidR="005661DE" w:rsidRPr="005661DE">
          <w:rPr>
            <w:rFonts w:ascii="宋体" w:hAnsi="宋体"/>
            <w:noProof/>
            <w:webHidden/>
          </w:rPr>
          <w:fldChar w:fldCharType="end"/>
        </w:r>
      </w:hyperlink>
    </w:p>
    <w:p w14:paraId="79582278" w14:textId="7466F700" w:rsidR="005661DE" w:rsidRPr="005661DE" w:rsidRDefault="004A7CBD" w:rsidP="008C2522">
      <w:pPr>
        <w:pStyle w:val="TOC2"/>
        <w:snapToGrid w:val="0"/>
        <w:ind w:leftChars="0" w:left="0"/>
        <w:rPr>
          <w:rFonts w:ascii="宋体" w:hAnsi="宋体"/>
          <w:noProof/>
        </w:rPr>
      </w:pPr>
      <w:hyperlink w:anchor="_Toc36844734" w:history="1">
        <w:r w:rsidR="005661DE" w:rsidRPr="005661DE">
          <w:rPr>
            <w:rStyle w:val="ab"/>
            <w:rFonts w:ascii="宋体" w:hAnsi="宋体"/>
            <w:noProof/>
          </w:rPr>
          <w:t>（二）明确量刑标准，出台统一的量刑指导意见</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_Toc36844734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17</w:t>
        </w:r>
        <w:r w:rsidR="005661DE" w:rsidRPr="005661DE">
          <w:rPr>
            <w:rFonts w:ascii="宋体" w:hAnsi="宋体"/>
            <w:noProof/>
            <w:webHidden/>
          </w:rPr>
          <w:fldChar w:fldCharType="end"/>
        </w:r>
      </w:hyperlink>
    </w:p>
    <w:p w14:paraId="452F5678" w14:textId="77EB1018" w:rsidR="005661DE" w:rsidRPr="005661DE" w:rsidRDefault="004A7CBD" w:rsidP="008C2522">
      <w:pPr>
        <w:pStyle w:val="TOC2"/>
        <w:snapToGrid w:val="0"/>
        <w:ind w:leftChars="0" w:left="0"/>
        <w:rPr>
          <w:rFonts w:ascii="宋体" w:hAnsi="宋体"/>
          <w:noProof/>
        </w:rPr>
      </w:pPr>
      <w:hyperlink w:anchor="_Toc36844735" w:history="1">
        <w:r w:rsidR="005661DE" w:rsidRPr="005661DE">
          <w:rPr>
            <w:rStyle w:val="ab"/>
            <w:rFonts w:ascii="宋体" w:hAnsi="宋体"/>
            <w:noProof/>
          </w:rPr>
          <w:t>（三）规范量刑协商程序，充分发挥辩护律师的作用</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_Toc36844735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18</w:t>
        </w:r>
        <w:r w:rsidR="005661DE" w:rsidRPr="005661DE">
          <w:rPr>
            <w:rFonts w:ascii="宋体" w:hAnsi="宋体"/>
            <w:noProof/>
            <w:webHidden/>
          </w:rPr>
          <w:fldChar w:fldCharType="end"/>
        </w:r>
      </w:hyperlink>
    </w:p>
    <w:p w14:paraId="4415239E" w14:textId="038C0EAD" w:rsidR="005661DE" w:rsidRPr="005661DE" w:rsidRDefault="004A7CBD" w:rsidP="008C2522">
      <w:pPr>
        <w:pStyle w:val="TOC2"/>
        <w:snapToGrid w:val="0"/>
        <w:ind w:leftChars="0" w:left="0"/>
        <w:rPr>
          <w:rFonts w:ascii="宋体" w:hAnsi="宋体"/>
          <w:noProof/>
        </w:rPr>
      </w:pPr>
      <w:hyperlink w:anchor="_Toc36844736" w:history="1">
        <w:r w:rsidR="005661DE" w:rsidRPr="005661DE">
          <w:rPr>
            <w:rStyle w:val="ab"/>
            <w:rFonts w:ascii="宋体" w:hAnsi="宋体"/>
            <w:noProof/>
          </w:rPr>
          <w:t>（四）加强对量刑建议权的监督和制约，严格量刑建议权的行使</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_Toc36844736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19</w:t>
        </w:r>
        <w:r w:rsidR="005661DE" w:rsidRPr="005661DE">
          <w:rPr>
            <w:rFonts w:ascii="宋体" w:hAnsi="宋体"/>
            <w:noProof/>
            <w:webHidden/>
          </w:rPr>
          <w:fldChar w:fldCharType="end"/>
        </w:r>
      </w:hyperlink>
    </w:p>
    <w:p w14:paraId="7A043F0F" w14:textId="6B8F6D20" w:rsidR="005661DE" w:rsidRPr="005661DE" w:rsidRDefault="004A7CBD" w:rsidP="008C2522">
      <w:pPr>
        <w:pStyle w:val="TOC2"/>
        <w:snapToGrid w:val="0"/>
        <w:ind w:leftChars="0" w:left="0"/>
        <w:rPr>
          <w:rFonts w:ascii="宋体" w:hAnsi="宋体"/>
          <w:noProof/>
        </w:rPr>
      </w:pPr>
      <w:hyperlink w:anchor="_Toc36844737" w:history="1">
        <w:r w:rsidR="005661DE" w:rsidRPr="005661DE">
          <w:rPr>
            <w:rStyle w:val="ab"/>
            <w:rFonts w:ascii="宋体" w:hAnsi="宋体"/>
            <w:noProof/>
          </w:rPr>
          <w:t>（五）构建量刑建议说理机制，提高量刑建议公信力</w:t>
        </w:r>
        <w:r w:rsidR="005661DE" w:rsidRPr="005661DE">
          <w:rPr>
            <w:rFonts w:ascii="宋体" w:hAnsi="宋体"/>
            <w:noProof/>
            <w:webHidden/>
          </w:rPr>
          <w:tab/>
        </w:r>
        <w:r w:rsidR="005661DE" w:rsidRPr="005661DE">
          <w:rPr>
            <w:rFonts w:ascii="宋体" w:hAnsi="宋体"/>
            <w:noProof/>
            <w:webHidden/>
          </w:rPr>
          <w:fldChar w:fldCharType="begin"/>
        </w:r>
        <w:r w:rsidR="005661DE" w:rsidRPr="005661DE">
          <w:rPr>
            <w:rFonts w:ascii="宋体" w:hAnsi="宋体"/>
            <w:noProof/>
            <w:webHidden/>
          </w:rPr>
          <w:instrText xml:space="preserve"> PAGEREF _Toc36844737 \h </w:instrText>
        </w:r>
        <w:r w:rsidR="005661DE" w:rsidRPr="005661DE">
          <w:rPr>
            <w:rFonts w:ascii="宋体" w:hAnsi="宋体"/>
            <w:noProof/>
            <w:webHidden/>
          </w:rPr>
        </w:r>
        <w:r w:rsidR="005661DE" w:rsidRPr="005661DE">
          <w:rPr>
            <w:rFonts w:ascii="宋体" w:hAnsi="宋体"/>
            <w:noProof/>
            <w:webHidden/>
          </w:rPr>
          <w:fldChar w:fldCharType="separate"/>
        </w:r>
        <w:r w:rsidR="00012108">
          <w:rPr>
            <w:rFonts w:ascii="宋体" w:hAnsi="宋体"/>
            <w:noProof/>
            <w:webHidden/>
          </w:rPr>
          <w:t>20</w:t>
        </w:r>
        <w:r w:rsidR="005661DE" w:rsidRPr="005661DE">
          <w:rPr>
            <w:rFonts w:ascii="宋体" w:hAnsi="宋体"/>
            <w:noProof/>
            <w:webHidden/>
          </w:rPr>
          <w:fldChar w:fldCharType="end"/>
        </w:r>
      </w:hyperlink>
    </w:p>
    <w:p w14:paraId="0FF41A6A" w14:textId="32A7A890"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38" w:history="1">
        <w:r w:rsidR="005661DE" w:rsidRPr="005661DE">
          <w:rPr>
            <w:rStyle w:val="ab"/>
            <w:rFonts w:ascii="宋体" w:eastAsia="宋体" w:hAnsi="宋体"/>
            <w:noProof/>
            <w:sz w:val="21"/>
            <w:szCs w:val="21"/>
          </w:rPr>
          <w:t>结  语</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_Toc36844738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21</w:t>
        </w:r>
        <w:r w:rsidR="005661DE" w:rsidRPr="005661DE">
          <w:rPr>
            <w:rFonts w:ascii="宋体" w:eastAsia="宋体" w:hAnsi="宋体"/>
            <w:noProof/>
            <w:webHidden/>
            <w:sz w:val="21"/>
            <w:szCs w:val="21"/>
          </w:rPr>
          <w:fldChar w:fldCharType="end"/>
        </w:r>
      </w:hyperlink>
    </w:p>
    <w:p w14:paraId="22A600A5" w14:textId="376A2267"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39" w:history="1">
        <w:r w:rsidR="005661DE" w:rsidRPr="005661DE">
          <w:rPr>
            <w:rStyle w:val="ab"/>
            <w:rFonts w:ascii="宋体" w:eastAsia="宋体" w:hAnsi="宋体"/>
            <w:noProof/>
            <w:sz w:val="21"/>
            <w:szCs w:val="21"/>
          </w:rPr>
          <w:t>参考文献</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_Toc36844739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22</w:t>
        </w:r>
        <w:r w:rsidR="005661DE" w:rsidRPr="005661DE">
          <w:rPr>
            <w:rFonts w:ascii="宋体" w:eastAsia="宋体" w:hAnsi="宋体"/>
            <w:noProof/>
            <w:webHidden/>
            <w:sz w:val="21"/>
            <w:szCs w:val="21"/>
          </w:rPr>
          <w:fldChar w:fldCharType="end"/>
        </w:r>
      </w:hyperlink>
    </w:p>
    <w:p w14:paraId="55736CE4" w14:textId="43B49669" w:rsidR="005661DE" w:rsidRPr="005661DE" w:rsidRDefault="004A7CBD" w:rsidP="008C2522">
      <w:pPr>
        <w:pStyle w:val="TOC1"/>
        <w:spacing w:line="360" w:lineRule="auto"/>
        <w:ind w:firstLine="0"/>
        <w:jc w:val="both"/>
        <w:rPr>
          <w:rFonts w:ascii="宋体" w:eastAsia="宋体" w:hAnsi="宋体"/>
          <w:noProof/>
          <w:sz w:val="21"/>
          <w:szCs w:val="21"/>
        </w:rPr>
      </w:pPr>
      <w:hyperlink w:anchor="_Toc36844740" w:history="1">
        <w:r w:rsidR="005661DE" w:rsidRPr="005661DE">
          <w:rPr>
            <w:rStyle w:val="ab"/>
            <w:rFonts w:ascii="宋体" w:eastAsia="宋体" w:hAnsi="宋体"/>
            <w:noProof/>
            <w:sz w:val="21"/>
            <w:szCs w:val="21"/>
          </w:rPr>
          <w:t>致  谢</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_Toc36844740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24</w:t>
        </w:r>
        <w:r w:rsidR="005661DE" w:rsidRPr="005661DE">
          <w:rPr>
            <w:rFonts w:ascii="宋体" w:eastAsia="宋体" w:hAnsi="宋体"/>
            <w:noProof/>
            <w:webHidden/>
            <w:sz w:val="21"/>
            <w:szCs w:val="21"/>
          </w:rPr>
          <w:fldChar w:fldCharType="end"/>
        </w:r>
      </w:hyperlink>
    </w:p>
    <w:p w14:paraId="48255473" w14:textId="59F3F727" w:rsidR="005661DE" w:rsidRPr="005661DE" w:rsidRDefault="004A7CBD" w:rsidP="008C2522">
      <w:pPr>
        <w:pStyle w:val="TOC1"/>
        <w:spacing w:line="360" w:lineRule="auto"/>
        <w:ind w:firstLine="0"/>
        <w:jc w:val="both"/>
        <w:rPr>
          <w:noProof/>
        </w:rPr>
      </w:pPr>
      <w:hyperlink w:anchor="_Toc36844741" w:history="1">
        <w:r w:rsidR="005661DE" w:rsidRPr="005661DE">
          <w:rPr>
            <w:rStyle w:val="ab"/>
            <w:rFonts w:ascii="宋体" w:eastAsia="宋体" w:hAnsi="宋体"/>
            <w:noProof/>
            <w:sz w:val="21"/>
            <w:szCs w:val="21"/>
          </w:rPr>
          <w:t>攻读学位期间发表的学术成果</w:t>
        </w:r>
        <w:r w:rsidR="005661DE" w:rsidRPr="005661DE">
          <w:rPr>
            <w:rFonts w:ascii="宋体" w:eastAsia="宋体" w:hAnsi="宋体"/>
            <w:noProof/>
            <w:webHidden/>
            <w:sz w:val="21"/>
            <w:szCs w:val="21"/>
          </w:rPr>
          <w:tab/>
        </w:r>
        <w:r w:rsidR="005661DE" w:rsidRPr="005661DE">
          <w:rPr>
            <w:rFonts w:ascii="宋体" w:eastAsia="宋体" w:hAnsi="宋体"/>
            <w:noProof/>
            <w:webHidden/>
            <w:sz w:val="21"/>
            <w:szCs w:val="21"/>
          </w:rPr>
          <w:fldChar w:fldCharType="begin"/>
        </w:r>
        <w:r w:rsidR="005661DE" w:rsidRPr="005661DE">
          <w:rPr>
            <w:rFonts w:ascii="宋体" w:eastAsia="宋体" w:hAnsi="宋体"/>
            <w:noProof/>
            <w:webHidden/>
            <w:sz w:val="21"/>
            <w:szCs w:val="21"/>
          </w:rPr>
          <w:instrText xml:space="preserve"> PAGEREF _Toc36844741 \h </w:instrText>
        </w:r>
        <w:r w:rsidR="005661DE" w:rsidRPr="005661DE">
          <w:rPr>
            <w:rFonts w:ascii="宋体" w:eastAsia="宋体" w:hAnsi="宋体"/>
            <w:noProof/>
            <w:webHidden/>
            <w:sz w:val="21"/>
            <w:szCs w:val="21"/>
          </w:rPr>
        </w:r>
        <w:r w:rsidR="005661DE" w:rsidRPr="005661DE">
          <w:rPr>
            <w:rFonts w:ascii="宋体" w:eastAsia="宋体" w:hAnsi="宋体"/>
            <w:noProof/>
            <w:webHidden/>
            <w:sz w:val="21"/>
            <w:szCs w:val="21"/>
          </w:rPr>
          <w:fldChar w:fldCharType="separate"/>
        </w:r>
        <w:r w:rsidR="00012108">
          <w:rPr>
            <w:rFonts w:ascii="宋体" w:eastAsia="宋体" w:hAnsi="宋体"/>
            <w:noProof/>
            <w:webHidden/>
            <w:sz w:val="21"/>
            <w:szCs w:val="21"/>
          </w:rPr>
          <w:t>25</w:t>
        </w:r>
        <w:r w:rsidR="005661DE" w:rsidRPr="005661DE">
          <w:rPr>
            <w:rFonts w:ascii="宋体" w:eastAsia="宋体" w:hAnsi="宋体"/>
            <w:noProof/>
            <w:webHidden/>
            <w:sz w:val="21"/>
            <w:szCs w:val="21"/>
          </w:rPr>
          <w:fldChar w:fldCharType="end"/>
        </w:r>
      </w:hyperlink>
    </w:p>
    <w:p w14:paraId="5B258FA6" w14:textId="77777777" w:rsidR="005661DE" w:rsidRDefault="005661DE" w:rsidP="008C2522">
      <w:pPr>
        <w:pStyle w:val="1"/>
        <w:snapToGrid w:val="0"/>
        <w:spacing w:line="360" w:lineRule="auto"/>
        <w:jc w:val="both"/>
        <w:sectPr w:rsidR="005661DE" w:rsidSect="0079454E">
          <w:footerReference w:type="default" r:id="rId12"/>
          <w:pgSz w:w="11900" w:h="16840"/>
          <w:pgMar w:top="1440" w:right="1800" w:bottom="1440" w:left="1800" w:header="851" w:footer="992" w:gutter="0"/>
          <w:pgNumType w:start="1"/>
          <w:cols w:space="425"/>
          <w:docGrid w:type="lines" w:linePitch="423"/>
        </w:sectPr>
      </w:pPr>
      <w:r w:rsidRPr="005661DE">
        <w:rPr>
          <w:rFonts w:ascii="宋体" w:hAnsi="宋体"/>
          <w:sz w:val="21"/>
          <w:szCs w:val="21"/>
        </w:rPr>
        <w:fldChar w:fldCharType="end"/>
      </w:r>
      <w:bookmarkStart w:id="1" w:name="_Toc36844708"/>
    </w:p>
    <w:p w14:paraId="4B04C545" w14:textId="46171D2C" w:rsidR="009E688C" w:rsidRPr="005661DE" w:rsidRDefault="009E688C" w:rsidP="008C2522">
      <w:pPr>
        <w:pStyle w:val="1"/>
        <w:snapToGrid w:val="0"/>
      </w:pPr>
      <w:r w:rsidRPr="005661DE">
        <w:rPr>
          <w:rFonts w:hint="eastAsia"/>
        </w:rPr>
        <w:lastRenderedPageBreak/>
        <w:t>导</w:t>
      </w:r>
      <w:r w:rsidR="00315097" w:rsidRPr="005661DE">
        <w:rPr>
          <w:rFonts w:hint="eastAsia"/>
        </w:rPr>
        <w:t xml:space="preserve">  </w:t>
      </w:r>
      <w:r w:rsidRPr="005661DE">
        <w:rPr>
          <w:rFonts w:hint="eastAsia"/>
        </w:rPr>
        <w:t>论</w:t>
      </w:r>
      <w:bookmarkEnd w:id="0"/>
      <w:bookmarkEnd w:id="1"/>
    </w:p>
    <w:p w14:paraId="1110CC79" w14:textId="77777777" w:rsidR="009E688C" w:rsidRPr="005661DE" w:rsidRDefault="009E688C" w:rsidP="008C2522">
      <w:pPr>
        <w:snapToGrid w:val="0"/>
        <w:spacing w:line="300" w:lineRule="auto"/>
      </w:pPr>
    </w:p>
    <w:p w14:paraId="4C8100B8" w14:textId="77777777" w:rsidR="009E688C" w:rsidRPr="005661DE" w:rsidRDefault="009E688C" w:rsidP="008C2522">
      <w:pPr>
        <w:pStyle w:val="2"/>
        <w:snapToGrid w:val="0"/>
      </w:pPr>
      <w:bookmarkStart w:id="2" w:name="_Toc36842037"/>
      <w:bookmarkStart w:id="3" w:name="_Toc36844709"/>
      <w:r w:rsidRPr="005661DE">
        <w:rPr>
          <w:rFonts w:hint="eastAsia"/>
        </w:rPr>
        <w:t>（一）选题的目的及意义</w:t>
      </w:r>
      <w:bookmarkEnd w:id="2"/>
      <w:bookmarkEnd w:id="3"/>
    </w:p>
    <w:p w14:paraId="0C05669E" w14:textId="77777777" w:rsidR="009E688C" w:rsidRPr="005661DE" w:rsidRDefault="003C7600" w:rsidP="008C2522">
      <w:pPr>
        <w:snapToGrid w:val="0"/>
        <w:spacing w:line="300" w:lineRule="auto"/>
      </w:pPr>
      <w:r w:rsidRPr="00F4375E">
        <w:t xml:space="preserve">2016 </w:t>
      </w:r>
      <w:r w:rsidRPr="00F4375E">
        <w:rPr>
          <w:rFonts w:cs="宋体" w:hint="eastAsia"/>
        </w:rPr>
        <w:t>年</w:t>
      </w:r>
      <w:r w:rsidRPr="00F4375E">
        <w:t>11</w:t>
      </w:r>
      <w:r w:rsidRPr="00F4375E">
        <w:rPr>
          <w:rFonts w:cs="宋体" w:hint="eastAsia"/>
        </w:rPr>
        <w:t>月</w:t>
      </w:r>
      <w:r w:rsidRPr="00F4375E">
        <w:t>16</w:t>
      </w:r>
      <w:r w:rsidRPr="00F4375E">
        <w:rPr>
          <w:rFonts w:cs="宋体" w:hint="eastAsia"/>
        </w:rPr>
        <w:t>日，</w:t>
      </w:r>
      <w:r>
        <w:rPr>
          <w:rFonts w:cs="宋体" w:hint="eastAsia"/>
        </w:rPr>
        <w:t>随着</w:t>
      </w:r>
      <w:r w:rsidRPr="00F4375E">
        <w:rPr>
          <w:rFonts w:cs="宋体" w:hint="eastAsia"/>
        </w:rPr>
        <w:t>最高人民法院、最高人民检察院</w:t>
      </w:r>
      <w:r>
        <w:rPr>
          <w:rFonts w:cs="宋体" w:hint="eastAsia"/>
        </w:rPr>
        <w:t>等多部门</w:t>
      </w:r>
      <w:r w:rsidRPr="00F4375E">
        <w:rPr>
          <w:rFonts w:cs="宋体" w:hint="eastAsia"/>
        </w:rPr>
        <w:t>联合出台《关于在部分地区开展刑事案件认罪认罚从宽制度试点工作的办法》</w:t>
      </w:r>
      <w:r w:rsidR="009E688C" w:rsidRPr="005661DE">
        <w:rPr>
          <w:rFonts w:hint="eastAsia"/>
        </w:rPr>
        <w:t>（下称《试点办法》），</w:t>
      </w:r>
      <w:r w:rsidR="00CD5122">
        <w:rPr>
          <w:rFonts w:hint="eastAsia"/>
        </w:rPr>
        <w:t>标志着</w:t>
      </w:r>
      <w:r>
        <w:rPr>
          <w:rFonts w:hint="eastAsia"/>
        </w:rPr>
        <w:t>认罪认罚从宽试点工作在全国正式启动。两年试点结束后</w:t>
      </w:r>
      <w:r w:rsidRPr="00F4375E">
        <w:rPr>
          <w:rFonts w:cs="宋体" w:hint="eastAsia"/>
        </w:rPr>
        <w:t>，</w:t>
      </w:r>
      <w:r w:rsidRPr="00F113F2">
        <w:t>2018</w:t>
      </w:r>
      <w:r w:rsidRPr="00F113F2">
        <w:rPr>
          <w:rFonts w:cs="宋体" w:hint="eastAsia"/>
        </w:rPr>
        <w:t>年</w:t>
      </w:r>
      <w:r w:rsidRPr="00F113F2">
        <w:t>10</w:t>
      </w:r>
      <w:r w:rsidRPr="00F113F2">
        <w:rPr>
          <w:rFonts w:cs="宋体" w:hint="eastAsia"/>
        </w:rPr>
        <w:t>月</w:t>
      </w:r>
      <w:r w:rsidRPr="00F113F2">
        <w:t>26</w:t>
      </w:r>
      <w:r w:rsidRPr="00F113F2">
        <w:rPr>
          <w:rFonts w:cs="宋体" w:hint="eastAsia"/>
        </w:rPr>
        <w:t>日</w:t>
      </w:r>
      <w:r>
        <w:rPr>
          <w:rFonts w:cs="宋体" w:hint="eastAsia"/>
        </w:rPr>
        <w:t>，</w:t>
      </w:r>
      <w:r w:rsidR="009E688C" w:rsidRPr="005661DE">
        <w:rPr>
          <w:rFonts w:hint="eastAsia"/>
        </w:rPr>
        <w:t>第十三届全国人民代表大会常务委员会第六次会议通过《关于修改〈中华人民共和国刑事诉讼法〉的决定》。这标志着认罪认罚从宽制度正式上升为法律规范，并开始在全国范围内推行。</w:t>
      </w:r>
    </w:p>
    <w:p w14:paraId="463E71B9" w14:textId="77777777" w:rsidR="009E688C" w:rsidRPr="005661DE" w:rsidRDefault="009E688C" w:rsidP="008C2522">
      <w:pPr>
        <w:snapToGrid w:val="0"/>
        <w:spacing w:line="300" w:lineRule="auto"/>
      </w:pPr>
      <w:r w:rsidRPr="005661DE">
        <w:rPr>
          <w:rFonts w:hint="eastAsia"/>
        </w:rPr>
        <w:t>随着宽严相济刑事政策的全面落实，认罪认罚</w:t>
      </w:r>
      <w:r w:rsidR="0032266E" w:rsidRPr="005661DE">
        <w:rPr>
          <w:rFonts w:hint="eastAsia"/>
        </w:rPr>
        <w:t>从宽制度研究成为当下刑事法学界的热门课题。认罪认罚从宽制度从定点试验到成为</w:t>
      </w:r>
      <w:r w:rsidRPr="005661DE">
        <w:rPr>
          <w:rFonts w:hint="eastAsia"/>
        </w:rPr>
        <w:t>《刑事诉讼法》</w:t>
      </w:r>
      <w:r w:rsidR="0032266E" w:rsidRPr="005661DE">
        <w:rPr>
          <w:rFonts w:hint="eastAsia"/>
        </w:rPr>
        <w:t>领域基本制度之一</w:t>
      </w:r>
      <w:r w:rsidRPr="005661DE">
        <w:rPr>
          <w:rFonts w:hint="eastAsia"/>
        </w:rPr>
        <w:t>，实践中出现了大量的难题和困境，这些问题成了学界和司法界关注的重点。当前，中央和地方都出台了大量的指导性文件，为认罪认罚司法实践提供了基本的制度基础。无论是在《试点办法》中，还是在新修改的《刑事诉讼法》中都强调，</w:t>
      </w:r>
      <w:r w:rsidR="00503824" w:rsidRPr="005661DE">
        <w:rPr>
          <w:rFonts w:hint="eastAsia"/>
        </w:rPr>
        <w:t>检察机关提交</w:t>
      </w:r>
      <w:r w:rsidRPr="005661DE">
        <w:rPr>
          <w:rFonts w:hint="eastAsia"/>
        </w:rPr>
        <w:t>量刑建议是认罪认罚从宽制度</w:t>
      </w:r>
      <w:r w:rsidR="003C09CE" w:rsidRPr="005661DE">
        <w:rPr>
          <w:rFonts w:hint="eastAsia"/>
        </w:rPr>
        <w:t>得以适用</w:t>
      </w:r>
      <w:r w:rsidRPr="005661DE">
        <w:rPr>
          <w:rFonts w:hint="eastAsia"/>
        </w:rPr>
        <w:t>重要</w:t>
      </w:r>
      <w:r w:rsidR="00315097" w:rsidRPr="005661DE">
        <w:rPr>
          <w:rFonts w:hint="eastAsia"/>
        </w:rPr>
        <w:t>条件之一。</w:t>
      </w:r>
      <w:r w:rsidRPr="005661DE">
        <w:rPr>
          <w:rFonts w:hint="eastAsia"/>
        </w:rPr>
        <w:t>因此，对检察机关量刑建议权进行探究对于推进认罪认罚从宽制度具有重大的理论和实践意义。</w:t>
      </w:r>
    </w:p>
    <w:p w14:paraId="649D9421" w14:textId="77777777" w:rsidR="009E688C" w:rsidRPr="005661DE" w:rsidRDefault="009E688C" w:rsidP="008C2522">
      <w:pPr>
        <w:snapToGrid w:val="0"/>
        <w:spacing w:line="300" w:lineRule="auto"/>
      </w:pPr>
      <w:r w:rsidRPr="005661DE">
        <w:rPr>
          <w:rFonts w:hint="eastAsia"/>
        </w:rPr>
        <w:t>从被告人的角度来讲，认罪认罚从宽制度的核心就是其通过自我认罪和接受处罚，确保得到量刑从宽、程序从简的处理。其特点是，被告人承认罪行并放弃部分权利，在审判机关开庭审理前与检察机关进行量刑协商并达成合意，在庭审过程中由法庭予以认可。量刑建议权是检察机关</w:t>
      </w:r>
      <w:r w:rsidR="0019186A" w:rsidRPr="005661DE">
        <w:rPr>
          <w:rFonts w:hint="eastAsia"/>
        </w:rPr>
        <w:t>行使司法请求权的主要途径之一，</w:t>
      </w:r>
      <w:r w:rsidRPr="005661DE">
        <w:rPr>
          <w:rFonts w:hint="eastAsia"/>
        </w:rPr>
        <w:t>在认罪认罚从宽</w:t>
      </w:r>
      <w:r w:rsidR="0019186A" w:rsidRPr="005661DE">
        <w:rPr>
          <w:rFonts w:hint="eastAsia"/>
        </w:rPr>
        <w:t>制度下，科学合理地行使这一权力</w:t>
      </w:r>
      <w:r w:rsidRPr="005661DE">
        <w:rPr>
          <w:rFonts w:hint="eastAsia"/>
        </w:rPr>
        <w:t>，既是保障制度顺畅运行的客观需要，也是检察机关增强对审判结果影响力、检察裁量权扩张的过程。检察机关在量刑确定过程处于主导地位的机遇和挑战背景之下，量刑建议在理论研究及具体实施过程中都存在一些亟待探讨的问题，如量刑建议权的性质，量刑建议的模式，量刑建议的标准，域外量刑建议权的借鉴，各地行使量刑建议权中存在的问题等等。本文旨在基于从试点工作到全面实施过程中出现的一些突出问题，在现有研究基础上，梳理总结实践中遇到的障碍和困难，提出完善建议，以促进和保障检察机关量刑建议权正当合理地行使。</w:t>
      </w:r>
    </w:p>
    <w:p w14:paraId="0C48B299" w14:textId="355778DA" w:rsidR="009E688C" w:rsidRPr="005661DE" w:rsidRDefault="009E688C" w:rsidP="008C2522">
      <w:pPr>
        <w:pStyle w:val="2"/>
        <w:snapToGrid w:val="0"/>
      </w:pPr>
      <w:bookmarkStart w:id="4" w:name="_Toc36842038"/>
      <w:bookmarkStart w:id="5" w:name="_Toc36844710"/>
      <w:r w:rsidRPr="005661DE">
        <w:rPr>
          <w:rFonts w:hint="eastAsia"/>
        </w:rPr>
        <w:t>（二）</w:t>
      </w:r>
      <w:bookmarkEnd w:id="4"/>
      <w:bookmarkEnd w:id="5"/>
      <w:r w:rsidR="00244D89">
        <w:rPr>
          <w:rFonts w:hint="eastAsia"/>
        </w:rPr>
        <w:t>相关研究述评</w:t>
      </w:r>
    </w:p>
    <w:p w14:paraId="5BF84DAE" w14:textId="77777777" w:rsidR="009E688C" w:rsidRPr="005661DE" w:rsidRDefault="009E688C" w:rsidP="008C2522">
      <w:pPr>
        <w:snapToGrid w:val="0"/>
        <w:spacing w:line="300" w:lineRule="auto"/>
      </w:pPr>
      <w:r w:rsidRPr="005661DE">
        <w:rPr>
          <w:rFonts w:hint="eastAsia"/>
        </w:rPr>
        <w:t>自认罪认罚从宽制度试点和全面实施之后，学界对检察机关的量刑建议权作了较为深入的研究和探讨。这些研究成果为全面推进认罪认罚从宽制度下检察机关量刑建议权的理论发展和实践应用提供了宝贵的基础性支持。</w:t>
      </w:r>
    </w:p>
    <w:p w14:paraId="5FC8EB98" w14:textId="77777777" w:rsidR="009E688C" w:rsidRPr="005661DE" w:rsidRDefault="009E688C" w:rsidP="008C2522">
      <w:pPr>
        <w:pStyle w:val="3"/>
        <w:snapToGrid w:val="0"/>
      </w:pPr>
      <w:r w:rsidRPr="005661DE">
        <w:t>1.</w:t>
      </w:r>
      <w:r w:rsidRPr="005661DE">
        <w:rPr>
          <w:rFonts w:hint="eastAsia"/>
        </w:rPr>
        <w:t>量刑建议权的概念和性质的界定</w:t>
      </w:r>
    </w:p>
    <w:p w14:paraId="3A0308D3" w14:textId="77777777" w:rsidR="009E688C" w:rsidRPr="005661DE" w:rsidRDefault="0019186A" w:rsidP="008C2522">
      <w:pPr>
        <w:snapToGrid w:val="0"/>
        <w:spacing w:line="300" w:lineRule="auto"/>
      </w:pPr>
      <w:r w:rsidRPr="005661DE">
        <w:rPr>
          <w:rFonts w:hint="eastAsia"/>
        </w:rPr>
        <w:t>针对量刑建议之概念，学界有</w:t>
      </w:r>
      <w:r w:rsidR="009E688C" w:rsidRPr="005661DE">
        <w:rPr>
          <w:rFonts w:hint="eastAsia"/>
        </w:rPr>
        <w:t>“意见要求说”、“诉讼活动说”等不同观点。陈瑞华教授指出，量刑建议</w:t>
      </w:r>
      <w:r w:rsidR="001B7497" w:rsidRPr="005661DE">
        <w:rPr>
          <w:rFonts w:hint="eastAsia"/>
        </w:rPr>
        <w:t>是检察机关就</w:t>
      </w:r>
      <w:r w:rsidR="009E688C" w:rsidRPr="005661DE">
        <w:rPr>
          <w:rFonts w:hint="eastAsia"/>
        </w:rPr>
        <w:t>被告人的</w:t>
      </w:r>
      <w:r w:rsidR="001B7497" w:rsidRPr="005661DE">
        <w:rPr>
          <w:rFonts w:hint="eastAsia"/>
        </w:rPr>
        <w:t>应处刑罚的</w:t>
      </w:r>
      <w:r w:rsidR="009E688C" w:rsidRPr="005661DE">
        <w:rPr>
          <w:rFonts w:hint="eastAsia"/>
        </w:rPr>
        <w:t>种类和量刑幅度向法院提出的法律意见（陈瑞华，</w:t>
      </w:r>
      <w:r w:rsidR="009E688C" w:rsidRPr="005661DE">
        <w:t>2011</w:t>
      </w:r>
      <w:r w:rsidR="009E688C" w:rsidRPr="005661DE">
        <w:rPr>
          <w:rFonts w:hint="eastAsia"/>
        </w:rPr>
        <w:t>）。有学者认为量刑建议是公诉人代表检察院就被告人所应判处的刑罚向法院提出意见的一种活动（种松志、樊崇义等，</w:t>
      </w:r>
      <w:r w:rsidR="009E688C" w:rsidRPr="005661DE">
        <w:t>2004</w:t>
      </w:r>
      <w:r w:rsidR="009E688C" w:rsidRPr="005661DE">
        <w:rPr>
          <w:rFonts w:hint="eastAsia"/>
        </w:rPr>
        <w:t>）。由量刑建议的定义推出量刑建议权的概念，理论界基本保持一致。量刑建议权的性质，学者之间有着不同的看法。有的学者把检察机关的量刑建议权等同于求刑权（施业家，</w:t>
      </w:r>
      <w:r w:rsidR="009E688C" w:rsidRPr="005661DE">
        <w:t>2016</w:t>
      </w:r>
      <w:r w:rsidR="009E688C" w:rsidRPr="005661DE">
        <w:rPr>
          <w:rFonts w:hint="eastAsia"/>
        </w:rPr>
        <w:t>）。也有的观点认为，“量刑建议”</w:t>
      </w:r>
      <w:r w:rsidR="00E1788D" w:rsidRPr="005661DE">
        <w:rPr>
          <w:rFonts w:hint="eastAsia"/>
        </w:rPr>
        <w:t>不同于</w:t>
      </w:r>
      <w:r w:rsidR="009E688C" w:rsidRPr="005661DE">
        <w:rPr>
          <w:rFonts w:hint="eastAsia"/>
        </w:rPr>
        <w:t>“求刑</w:t>
      </w:r>
      <w:r w:rsidR="00E1788D" w:rsidRPr="005661DE">
        <w:rPr>
          <w:rFonts w:hint="eastAsia"/>
        </w:rPr>
        <w:t>”</w:t>
      </w:r>
      <w:r w:rsidR="009E688C" w:rsidRPr="005661DE">
        <w:rPr>
          <w:rFonts w:hint="eastAsia"/>
        </w:rPr>
        <w:t>，</w:t>
      </w:r>
      <w:r w:rsidR="00E1788D" w:rsidRPr="005661DE">
        <w:rPr>
          <w:rFonts w:hint="eastAsia"/>
        </w:rPr>
        <w:t>量刑建议作为</w:t>
      </w:r>
      <w:r w:rsidR="009E688C" w:rsidRPr="005661DE">
        <w:rPr>
          <w:rFonts w:hint="eastAsia"/>
        </w:rPr>
        <w:t>检察机关求刑的主要方式</w:t>
      </w:r>
      <w:r w:rsidR="00E1788D" w:rsidRPr="005661DE">
        <w:rPr>
          <w:rFonts w:hint="eastAsia"/>
        </w:rPr>
        <w:t>之一</w:t>
      </w:r>
      <w:r w:rsidR="009E688C" w:rsidRPr="005661DE">
        <w:rPr>
          <w:rFonts w:hint="eastAsia"/>
        </w:rPr>
        <w:t>。</w:t>
      </w:r>
      <w:r w:rsidR="00E1788D" w:rsidRPr="005661DE">
        <w:rPr>
          <w:rFonts w:hint="eastAsia"/>
        </w:rPr>
        <w:t>同时</w:t>
      </w:r>
      <w:r w:rsidR="009E688C" w:rsidRPr="005661DE">
        <w:rPr>
          <w:rFonts w:hint="eastAsia"/>
        </w:rPr>
        <w:t>该观点还反对量刑权</w:t>
      </w:r>
      <w:r w:rsidR="00E1788D" w:rsidRPr="005661DE">
        <w:rPr>
          <w:rFonts w:hint="eastAsia"/>
        </w:rPr>
        <w:t>属于法院独享的权力的观点，认为求刑权与量刑权二者之间彼此独立</w:t>
      </w:r>
      <w:r w:rsidR="009E688C" w:rsidRPr="005661DE">
        <w:rPr>
          <w:rFonts w:hint="eastAsia"/>
        </w:rPr>
        <w:t>，行使量刑建议权不涉及侵犯量刑权的问题（朱孝清，</w:t>
      </w:r>
      <w:r w:rsidR="009E688C" w:rsidRPr="005661DE">
        <w:t>201</w:t>
      </w:r>
      <w:r w:rsidR="00B76BF7" w:rsidRPr="005661DE">
        <w:rPr>
          <w:rFonts w:hint="eastAsia"/>
        </w:rPr>
        <w:t>0</w:t>
      </w:r>
      <w:r w:rsidR="00B76BF7" w:rsidRPr="005661DE">
        <w:rPr>
          <w:rFonts w:hint="eastAsia"/>
        </w:rPr>
        <w:t>）。</w:t>
      </w:r>
    </w:p>
    <w:p w14:paraId="217661FE" w14:textId="77777777" w:rsidR="00B76BF7" w:rsidRPr="005661DE" w:rsidRDefault="00B76BF7" w:rsidP="008C2522">
      <w:pPr>
        <w:pStyle w:val="3"/>
        <w:snapToGrid w:val="0"/>
      </w:pPr>
      <w:r w:rsidRPr="005661DE">
        <w:lastRenderedPageBreak/>
        <w:t>2.</w:t>
      </w:r>
      <w:r w:rsidRPr="005661DE">
        <w:rPr>
          <w:rFonts w:hint="eastAsia"/>
        </w:rPr>
        <w:t>量刑建议的效力</w:t>
      </w:r>
    </w:p>
    <w:p w14:paraId="559A10DC" w14:textId="77777777" w:rsidR="00B76BF7" w:rsidRPr="005661DE" w:rsidRDefault="00B76BF7" w:rsidP="008C2522">
      <w:pPr>
        <w:snapToGrid w:val="0"/>
        <w:spacing w:line="300" w:lineRule="auto"/>
      </w:pPr>
      <w:r w:rsidRPr="005661DE">
        <w:rPr>
          <w:rFonts w:hint="eastAsia"/>
        </w:rPr>
        <w:t>关于量刑建议的效力，有学者认为，认罪认罚从宽制度中的量刑建议，对指控方、被告人、裁判方均应具有相应的效力。简言之，对控辩而言，有遵守义务；对法院而言，有尊重职责（卞建林，</w:t>
      </w:r>
      <w:r w:rsidRPr="005661DE">
        <w:rPr>
          <w:rFonts w:hint="eastAsia"/>
        </w:rPr>
        <w:t>2019</w:t>
      </w:r>
      <w:r w:rsidRPr="005661DE">
        <w:rPr>
          <w:rFonts w:hint="eastAsia"/>
        </w:rPr>
        <w:t>）。</w:t>
      </w:r>
    </w:p>
    <w:p w14:paraId="12859B9F" w14:textId="77777777" w:rsidR="009E688C" w:rsidRPr="005661DE" w:rsidRDefault="00B76BF7" w:rsidP="008C2522">
      <w:pPr>
        <w:pStyle w:val="3"/>
        <w:snapToGrid w:val="0"/>
      </w:pPr>
      <w:r w:rsidRPr="005661DE">
        <w:t>3</w:t>
      </w:r>
      <w:r w:rsidR="009E688C" w:rsidRPr="005661DE">
        <w:t>.</w:t>
      </w:r>
      <w:r w:rsidR="009E688C" w:rsidRPr="005661DE">
        <w:rPr>
          <w:rFonts w:hint="eastAsia"/>
        </w:rPr>
        <w:t>量刑建议权的正当性</w:t>
      </w:r>
    </w:p>
    <w:p w14:paraId="2AAFD21E" w14:textId="77777777" w:rsidR="009E688C" w:rsidRPr="005661DE" w:rsidRDefault="009E688C" w:rsidP="008C2522">
      <w:pPr>
        <w:snapToGrid w:val="0"/>
        <w:spacing w:line="300" w:lineRule="auto"/>
      </w:pPr>
      <w:r w:rsidRPr="005661DE">
        <w:rPr>
          <w:rFonts w:hint="eastAsia"/>
        </w:rPr>
        <w:t>关于量刑建议权的正当性，有两种不同的观点：一种认为，检察机关</w:t>
      </w:r>
      <w:r w:rsidR="00C93E1E" w:rsidRPr="005661DE">
        <w:rPr>
          <w:rFonts w:hint="eastAsia"/>
        </w:rPr>
        <w:t>提起公诉时</w:t>
      </w:r>
      <w:r w:rsidRPr="005661DE">
        <w:rPr>
          <w:rFonts w:hint="eastAsia"/>
        </w:rPr>
        <w:t>行使量刑建议权</w:t>
      </w:r>
      <w:r w:rsidR="00C93E1E" w:rsidRPr="005661DE">
        <w:rPr>
          <w:rFonts w:hint="eastAsia"/>
        </w:rPr>
        <w:t>有追究被告人刑事责任的嫌疑，干涉到法院的审判权</w:t>
      </w:r>
      <w:r w:rsidRPr="005661DE">
        <w:rPr>
          <w:rFonts w:hint="eastAsia"/>
        </w:rPr>
        <w:t>（</w:t>
      </w:r>
      <w:r w:rsidR="00C93E1E" w:rsidRPr="005661DE">
        <w:rPr>
          <w:rFonts w:hint="eastAsia"/>
        </w:rPr>
        <w:t>白秀峰，</w:t>
      </w:r>
      <w:r w:rsidR="00C93E1E" w:rsidRPr="005661DE">
        <w:rPr>
          <w:rFonts w:hint="eastAsia"/>
        </w:rPr>
        <w:t>2016</w:t>
      </w:r>
      <w:r w:rsidR="00C93E1E" w:rsidRPr="005661DE">
        <w:rPr>
          <w:rFonts w:hint="eastAsia"/>
        </w:rPr>
        <w:t>）</w:t>
      </w:r>
      <w:r w:rsidRPr="005661DE">
        <w:rPr>
          <w:rFonts w:hint="eastAsia"/>
        </w:rPr>
        <w:t>。另一种观点认为，量刑建议权是检察机关行使法律监督权的表现，有助于保障法庭审理的合法性、公正性。有的学者认为量刑建议提出后，</w:t>
      </w:r>
      <w:r w:rsidR="001B7497" w:rsidRPr="005661DE">
        <w:rPr>
          <w:rFonts w:hint="eastAsia"/>
        </w:rPr>
        <w:t>有助于公开量刑过程，增加透明度，从而规制</w:t>
      </w:r>
      <w:r w:rsidRPr="005661DE">
        <w:rPr>
          <w:rFonts w:hint="eastAsia"/>
        </w:rPr>
        <w:t>法官的自由裁量权（王志刚，</w:t>
      </w:r>
      <w:r w:rsidRPr="005661DE">
        <w:t>2009</w:t>
      </w:r>
      <w:r w:rsidRPr="005661DE">
        <w:rPr>
          <w:rFonts w:hint="eastAsia"/>
        </w:rPr>
        <w:t>）。有学者认为，检察机关精准的量刑建议有利于其积极适</w:t>
      </w:r>
      <w:r w:rsidR="001B7497" w:rsidRPr="005661DE">
        <w:rPr>
          <w:rFonts w:hint="eastAsia"/>
        </w:rPr>
        <w:t>应庭审实质化改革的要求，通过向法官充分发表意见，改变原来法官独自</w:t>
      </w:r>
      <w:r w:rsidRPr="005661DE">
        <w:rPr>
          <w:rFonts w:hint="eastAsia"/>
        </w:rPr>
        <w:t>决定量</w:t>
      </w:r>
      <w:r w:rsidR="001B7497" w:rsidRPr="005661DE">
        <w:rPr>
          <w:rFonts w:hint="eastAsia"/>
        </w:rPr>
        <w:t>刑的情形</w:t>
      </w:r>
      <w:r w:rsidRPr="005661DE">
        <w:rPr>
          <w:rFonts w:hint="eastAsia"/>
        </w:rPr>
        <w:t>，实现个案正义（鲍健、陈申骁，</w:t>
      </w:r>
      <w:r w:rsidRPr="005661DE">
        <w:t>2019</w:t>
      </w:r>
      <w:r w:rsidRPr="005661DE">
        <w:rPr>
          <w:rFonts w:hint="eastAsia"/>
        </w:rPr>
        <w:t>）。第二种观点现已被大多数的学者所支持。</w:t>
      </w:r>
    </w:p>
    <w:p w14:paraId="361C9AF2" w14:textId="77777777" w:rsidR="009E688C" w:rsidRPr="005661DE" w:rsidRDefault="00B76BF7" w:rsidP="008C2522">
      <w:pPr>
        <w:pStyle w:val="3"/>
        <w:snapToGrid w:val="0"/>
      </w:pPr>
      <w:r w:rsidRPr="005661DE">
        <w:t>4</w:t>
      </w:r>
      <w:r w:rsidR="009E688C" w:rsidRPr="005661DE">
        <w:t>.</w:t>
      </w:r>
      <w:r w:rsidR="009E688C" w:rsidRPr="005661DE">
        <w:rPr>
          <w:rFonts w:hint="eastAsia"/>
        </w:rPr>
        <w:t>量刑建议的模式</w:t>
      </w:r>
    </w:p>
    <w:p w14:paraId="02710BC9" w14:textId="77777777" w:rsidR="009E688C" w:rsidRPr="005661DE" w:rsidRDefault="009E688C" w:rsidP="008C2522">
      <w:pPr>
        <w:snapToGrid w:val="0"/>
        <w:spacing w:line="300" w:lineRule="auto"/>
      </w:pPr>
      <w:r w:rsidRPr="005661DE">
        <w:rPr>
          <w:rFonts w:hint="eastAsia"/>
        </w:rPr>
        <w:t>有学者将量刑建议权的模式主要分为三种：概括性量刑建议、相对确定的</w:t>
      </w:r>
      <w:r w:rsidR="00AC0CCB" w:rsidRPr="005661DE">
        <w:rPr>
          <w:rFonts w:hint="eastAsia"/>
        </w:rPr>
        <w:t>量刑建议和绝对确定的量刑建议。概括性量刑建议模式</w:t>
      </w:r>
      <w:r w:rsidRPr="005661DE">
        <w:rPr>
          <w:rFonts w:hint="eastAsia"/>
        </w:rPr>
        <w:t>是实践中比较常见的方法（潘金贵，</w:t>
      </w:r>
      <w:r w:rsidRPr="005661DE">
        <w:t>2009</w:t>
      </w:r>
      <w:r w:rsidRPr="005661DE">
        <w:rPr>
          <w:rFonts w:hint="eastAsia"/>
        </w:rPr>
        <w:t>）。提倡相对确定的量刑建议，即选择幅度型的量刑建议的法官居多。有的法官指出，相较确定的量刑模式，幅度型的量刑建议是符合以审判为中心的内在要求，更符合检察机关和审判机关的职能定位并有利于发挥各自的优势，从而实现量刑公正（臧德胜，</w:t>
      </w:r>
      <w:r w:rsidRPr="005661DE">
        <w:t>2019</w:t>
      </w:r>
      <w:r w:rsidRPr="005661DE">
        <w:rPr>
          <w:rFonts w:hint="eastAsia"/>
        </w:rPr>
        <w:t>）。</w:t>
      </w:r>
      <w:r w:rsidR="00CD61A2" w:rsidRPr="005661DE">
        <w:rPr>
          <w:rFonts w:hint="eastAsia"/>
        </w:rPr>
        <w:t>不同</w:t>
      </w:r>
      <w:r w:rsidR="000D3A5D" w:rsidRPr="005661DE">
        <w:rPr>
          <w:rFonts w:hint="eastAsia"/>
        </w:rPr>
        <w:t>观点</w:t>
      </w:r>
      <w:r w:rsidRPr="005661DE">
        <w:rPr>
          <w:rFonts w:hint="eastAsia"/>
        </w:rPr>
        <w:t>认为，在认罪认罚从宽语境下，量刑建议中的刑罚和刑期应当尽可能明确，即应追求绝对确定的量刑建议模式（卞建林，</w:t>
      </w:r>
      <w:r w:rsidRPr="005661DE">
        <w:t>2019</w:t>
      </w:r>
      <w:r w:rsidRPr="005661DE">
        <w:rPr>
          <w:rFonts w:hint="eastAsia"/>
        </w:rPr>
        <w:t>）。从其他国家的实践来看，域外国家做到精准的量刑建议是通行的做法。有学者对美国辩诉交易的文本进行研究，发现控辩双方都会就量刑形成一个精确或相对精确的约定，一般情况下，连罚金刑都会约定精确的数额（杨先德，</w:t>
      </w:r>
      <w:r w:rsidRPr="005661DE">
        <w:t>2019</w:t>
      </w:r>
      <w:r w:rsidRPr="005661DE">
        <w:rPr>
          <w:rFonts w:hint="eastAsia"/>
        </w:rPr>
        <w:t>）。</w:t>
      </w:r>
    </w:p>
    <w:p w14:paraId="45DDD7A4" w14:textId="77777777" w:rsidR="009E688C" w:rsidRPr="005661DE" w:rsidRDefault="00B76BF7" w:rsidP="008C2522">
      <w:pPr>
        <w:pStyle w:val="3"/>
        <w:snapToGrid w:val="0"/>
      </w:pPr>
      <w:r w:rsidRPr="005661DE">
        <w:t>5</w:t>
      </w:r>
      <w:r w:rsidR="009E688C" w:rsidRPr="005661DE">
        <w:t>.</w:t>
      </w:r>
      <w:r w:rsidR="009E688C" w:rsidRPr="005661DE">
        <w:rPr>
          <w:rFonts w:hint="eastAsia"/>
        </w:rPr>
        <w:t>量刑建议从宽的幅度</w:t>
      </w:r>
    </w:p>
    <w:p w14:paraId="6AA67C34" w14:textId="77777777" w:rsidR="009E688C" w:rsidRPr="005661DE" w:rsidRDefault="009E688C" w:rsidP="008C2522">
      <w:pPr>
        <w:snapToGrid w:val="0"/>
        <w:spacing w:line="300" w:lineRule="auto"/>
      </w:pPr>
      <w:r w:rsidRPr="005661DE">
        <w:rPr>
          <w:rFonts w:hint="eastAsia"/>
        </w:rPr>
        <w:t>关于量刑建议从宽的幅度，有学者认为，量刑折扣最高若是达到</w:t>
      </w:r>
      <w:r w:rsidRPr="005661DE">
        <w:t>50%</w:t>
      </w:r>
      <w:r w:rsidRPr="005661DE">
        <w:rPr>
          <w:rFonts w:hint="eastAsia"/>
        </w:rPr>
        <w:t>及在特定情形下甚至达到</w:t>
      </w:r>
      <w:r w:rsidRPr="005661DE">
        <w:t>40%—50%</w:t>
      </w:r>
      <w:r w:rsidRPr="005661DE">
        <w:rPr>
          <w:rFonts w:hint="eastAsia"/>
        </w:rPr>
        <w:t>以上是明显过高的，将会对罪刑相适应的原则形成冲击，可参考英国、意大利等国量刑折扣不超过</w:t>
      </w:r>
      <w:r w:rsidRPr="005661DE">
        <w:t>1/3</w:t>
      </w:r>
      <w:r w:rsidRPr="005661DE">
        <w:rPr>
          <w:rFonts w:hint="eastAsia"/>
        </w:rPr>
        <w:t>的原则（熊秋红，</w:t>
      </w:r>
      <w:r w:rsidRPr="005661DE">
        <w:t>2016</w:t>
      </w:r>
      <w:r w:rsidRPr="005661DE">
        <w:rPr>
          <w:rFonts w:hint="eastAsia"/>
        </w:rPr>
        <w:t>）。有的学者指出，大量的试点单位通过文件或是实践规则的方式选择</w:t>
      </w:r>
      <w:r w:rsidR="00884A02" w:rsidRPr="005661DE">
        <w:rPr>
          <w:rFonts w:hint="eastAsia"/>
        </w:rPr>
        <w:t>接受</w:t>
      </w:r>
      <w:r w:rsidR="0073266D">
        <w:rPr>
          <w:rFonts w:hint="eastAsia"/>
        </w:rPr>
        <w:t>“</w:t>
      </w:r>
      <w:r w:rsidR="0073266D">
        <w:t>30%—20%—10%”</w:t>
      </w:r>
      <w:r w:rsidR="00A858CB" w:rsidRPr="005661DE">
        <w:rPr>
          <w:rFonts w:hint="eastAsia"/>
        </w:rPr>
        <w:t>的方案，</w:t>
      </w:r>
      <w:r w:rsidR="006F24FE" w:rsidRPr="005661DE">
        <w:rPr>
          <w:rFonts w:hint="eastAsia"/>
        </w:rPr>
        <w:t>即从侦查阶段、审查起诉阶段到审判阶段，被告人认罪认罚后获得量刑从宽的减损比例依次降低，且法官享有自由裁量权（周新，</w:t>
      </w:r>
      <w:r w:rsidR="006F24FE" w:rsidRPr="005661DE">
        <w:t>2019</w:t>
      </w:r>
      <w:r w:rsidR="006F24FE" w:rsidRPr="005661DE">
        <w:rPr>
          <w:rFonts w:hint="eastAsia"/>
        </w:rPr>
        <w:t>）。这样的模式一方面可以满足量刑激励被告人认罪的目的，提高认罪认罚程序的效率，同时与自首、立功等量刑情节形成梯度（刘伟琦，</w:t>
      </w:r>
      <w:r w:rsidR="006F24FE" w:rsidRPr="005661DE">
        <w:t>2018</w:t>
      </w:r>
      <w:r w:rsidR="006F24FE" w:rsidRPr="005661DE">
        <w:rPr>
          <w:rFonts w:hint="eastAsia"/>
        </w:rPr>
        <w:t>）。</w:t>
      </w:r>
    </w:p>
    <w:p w14:paraId="0FF7CEA1" w14:textId="77777777" w:rsidR="009E688C" w:rsidRPr="005661DE" w:rsidRDefault="00B76BF7" w:rsidP="008C2522">
      <w:pPr>
        <w:pStyle w:val="3"/>
        <w:snapToGrid w:val="0"/>
      </w:pPr>
      <w:r w:rsidRPr="005661DE">
        <w:t>6</w:t>
      </w:r>
      <w:r w:rsidR="009E688C" w:rsidRPr="005661DE">
        <w:t>.</w:t>
      </w:r>
      <w:r w:rsidR="009E688C" w:rsidRPr="005661DE">
        <w:rPr>
          <w:rFonts w:hint="eastAsia"/>
        </w:rPr>
        <w:t>量刑协商程序</w:t>
      </w:r>
    </w:p>
    <w:p w14:paraId="30BEB401" w14:textId="77777777" w:rsidR="009E688C" w:rsidRPr="005661DE" w:rsidRDefault="009E688C" w:rsidP="008C2522">
      <w:pPr>
        <w:snapToGrid w:val="0"/>
        <w:spacing w:line="300" w:lineRule="auto"/>
      </w:pPr>
      <w:r w:rsidRPr="005661DE">
        <w:rPr>
          <w:rFonts w:hint="eastAsia"/>
        </w:rPr>
        <w:t>关于量刑协商程序中值班律师参与的问题，有学者通过实证调研得到的数据显示，</w:t>
      </w:r>
      <w:r w:rsidRPr="005661DE">
        <w:t>100%</w:t>
      </w:r>
      <w:r w:rsidRPr="005661DE">
        <w:rPr>
          <w:rFonts w:hint="eastAsia"/>
        </w:rPr>
        <w:t>的法官、</w:t>
      </w:r>
      <w:r w:rsidRPr="005661DE">
        <w:t>70%</w:t>
      </w:r>
      <w:r w:rsidRPr="005661DE">
        <w:rPr>
          <w:rFonts w:hint="eastAsia"/>
        </w:rPr>
        <w:t>的公诉人及</w:t>
      </w:r>
      <w:r w:rsidRPr="005661DE">
        <w:t>81.82%</w:t>
      </w:r>
      <w:r w:rsidRPr="005661DE">
        <w:rPr>
          <w:rFonts w:hint="eastAsia"/>
        </w:rPr>
        <w:t>的律师认为如果值班律师没有阅卷权等相关权利，则无法提高有效的法律帮助，更无量刑协商的能力可言（郑敏、陈玉官、方俊民，</w:t>
      </w:r>
      <w:r w:rsidRPr="005661DE">
        <w:t>2016</w:t>
      </w:r>
      <w:r w:rsidRPr="005661DE">
        <w:rPr>
          <w:rFonts w:hint="eastAsia"/>
        </w:rPr>
        <w:t>）。陈瑞华教授在他的文章中指出，在认罪认罚从宽制度的试点工作中，一些地方</w:t>
      </w:r>
      <w:r w:rsidR="0047180E" w:rsidRPr="005661DE">
        <w:rPr>
          <w:rFonts w:hint="eastAsia"/>
        </w:rPr>
        <w:t>在实践中</w:t>
      </w:r>
      <w:r w:rsidR="00884A02" w:rsidRPr="005661DE">
        <w:rPr>
          <w:rFonts w:hint="eastAsia"/>
        </w:rPr>
        <w:t>赋</w:t>
      </w:r>
      <w:r w:rsidRPr="005661DE">
        <w:rPr>
          <w:rFonts w:hint="eastAsia"/>
        </w:rPr>
        <w:t>予</w:t>
      </w:r>
      <w:r w:rsidR="0047180E" w:rsidRPr="005661DE">
        <w:rPr>
          <w:rFonts w:hint="eastAsia"/>
        </w:rPr>
        <w:t>值班律师阅卷</w:t>
      </w:r>
      <w:r w:rsidR="00D97DD9" w:rsidRPr="005661DE">
        <w:rPr>
          <w:rFonts w:hint="eastAsia"/>
        </w:rPr>
        <w:t>权</w:t>
      </w:r>
      <w:r w:rsidR="0047180E" w:rsidRPr="005661DE">
        <w:rPr>
          <w:rFonts w:hint="eastAsia"/>
        </w:rPr>
        <w:t>等权力来</w:t>
      </w:r>
      <w:r w:rsidR="00D97DD9" w:rsidRPr="005661DE">
        <w:rPr>
          <w:rFonts w:hint="eastAsia"/>
        </w:rPr>
        <w:t>保证其能够</w:t>
      </w:r>
      <w:r w:rsidRPr="005661DE">
        <w:rPr>
          <w:rFonts w:hint="eastAsia"/>
        </w:rPr>
        <w:t>参与量刑协商过程的做法尽管没有得到普遍的推行，但发挥着积极的作用（陈瑞华，</w:t>
      </w:r>
      <w:r w:rsidRPr="005661DE">
        <w:t>2019</w:t>
      </w:r>
      <w:r w:rsidRPr="005661DE">
        <w:rPr>
          <w:rFonts w:hint="eastAsia"/>
        </w:rPr>
        <w:t>）。</w:t>
      </w:r>
    </w:p>
    <w:p w14:paraId="1F0C6913" w14:textId="77777777" w:rsidR="009E688C" w:rsidRPr="005661DE" w:rsidRDefault="009E688C" w:rsidP="008C2522">
      <w:pPr>
        <w:pStyle w:val="2"/>
        <w:snapToGrid w:val="0"/>
      </w:pPr>
      <w:bookmarkStart w:id="6" w:name="_Toc36842039"/>
      <w:bookmarkStart w:id="7" w:name="_Toc36844711"/>
      <w:r w:rsidRPr="005661DE">
        <w:rPr>
          <w:rFonts w:hint="eastAsia"/>
        </w:rPr>
        <w:t>（三）研究的主要内容与方法</w:t>
      </w:r>
      <w:bookmarkEnd w:id="6"/>
      <w:bookmarkEnd w:id="7"/>
    </w:p>
    <w:p w14:paraId="3A27C828" w14:textId="77777777" w:rsidR="009E688C" w:rsidRPr="005661DE" w:rsidRDefault="009E688C" w:rsidP="008C2522">
      <w:pPr>
        <w:pStyle w:val="3"/>
        <w:snapToGrid w:val="0"/>
      </w:pPr>
      <w:r w:rsidRPr="005661DE">
        <w:t>1.</w:t>
      </w:r>
      <w:r w:rsidRPr="005661DE">
        <w:rPr>
          <w:rFonts w:hint="eastAsia"/>
        </w:rPr>
        <w:t>主要内容</w:t>
      </w:r>
    </w:p>
    <w:p w14:paraId="23368099" w14:textId="77777777" w:rsidR="009E688C" w:rsidRPr="005661DE" w:rsidRDefault="009E688C" w:rsidP="008C2522">
      <w:pPr>
        <w:snapToGrid w:val="0"/>
        <w:spacing w:line="300" w:lineRule="auto"/>
      </w:pPr>
      <w:r w:rsidRPr="005661DE">
        <w:rPr>
          <w:rFonts w:hint="eastAsia"/>
        </w:rPr>
        <w:t>（</w:t>
      </w:r>
      <w:r w:rsidRPr="005661DE">
        <w:t>1</w:t>
      </w:r>
      <w:r w:rsidRPr="005661DE">
        <w:rPr>
          <w:rFonts w:hint="eastAsia"/>
        </w:rPr>
        <w:t>）</w:t>
      </w:r>
      <w:r w:rsidR="00164F4C" w:rsidRPr="005661DE">
        <w:rPr>
          <w:rFonts w:hint="eastAsia"/>
        </w:rPr>
        <w:t>以梳理检察机关量刑建议权的一般理论开篇。分析与</w:t>
      </w:r>
      <w:r w:rsidRPr="005661DE">
        <w:rPr>
          <w:rFonts w:hint="eastAsia"/>
        </w:rPr>
        <w:t>检察机关量刑建议权</w:t>
      </w:r>
      <w:r w:rsidR="00164F4C" w:rsidRPr="005661DE">
        <w:rPr>
          <w:rFonts w:hint="eastAsia"/>
        </w:rPr>
        <w:t>相关的</w:t>
      </w:r>
      <w:r w:rsidR="00164F4C" w:rsidRPr="005661DE">
        <w:rPr>
          <w:rFonts w:hint="eastAsia"/>
        </w:rPr>
        <w:lastRenderedPageBreak/>
        <w:t>指导性文件、法律规定等的制定背景和发展过程，</w:t>
      </w:r>
      <w:r w:rsidR="00ED410C" w:rsidRPr="005661DE">
        <w:rPr>
          <w:rFonts w:hint="eastAsia"/>
        </w:rPr>
        <w:t>研究</w:t>
      </w:r>
      <w:r w:rsidRPr="005661DE">
        <w:rPr>
          <w:rFonts w:hint="eastAsia"/>
        </w:rPr>
        <w:t>检察机关量刑建议权的发展轨迹，并阐述在认罪认罚从宽背景下其应具有的性质。</w:t>
      </w:r>
    </w:p>
    <w:p w14:paraId="7CF02DCB" w14:textId="77777777" w:rsidR="009E688C" w:rsidRPr="005661DE" w:rsidRDefault="009E688C" w:rsidP="008C2522">
      <w:pPr>
        <w:snapToGrid w:val="0"/>
        <w:spacing w:line="300" w:lineRule="auto"/>
      </w:pPr>
      <w:r w:rsidRPr="005661DE">
        <w:rPr>
          <w:rFonts w:hint="eastAsia"/>
        </w:rPr>
        <w:t>（</w:t>
      </w:r>
      <w:r w:rsidRPr="005661DE">
        <w:t>2</w:t>
      </w:r>
      <w:r w:rsidRPr="005661DE">
        <w:rPr>
          <w:rFonts w:hint="eastAsia"/>
        </w:rPr>
        <w:t>）考察域外类似认罪认罚从宽制度中检察机关量刑建议权的问题。通过对域外国家</w:t>
      </w:r>
      <w:r w:rsidR="00164F4C" w:rsidRPr="005661DE">
        <w:rPr>
          <w:rFonts w:hint="eastAsia"/>
        </w:rPr>
        <w:t>辩诉交易、认罪答辩等制度中检察机关量刑建议权进行比较分析，为</w:t>
      </w:r>
      <w:r w:rsidR="009C105D" w:rsidRPr="005661DE">
        <w:rPr>
          <w:rFonts w:hint="eastAsia"/>
        </w:rPr>
        <w:t>我国检察机关量刑建议权</w:t>
      </w:r>
      <w:r w:rsidR="00164F4C" w:rsidRPr="005661DE">
        <w:rPr>
          <w:rFonts w:hint="eastAsia"/>
        </w:rPr>
        <w:t>进一步发展</w:t>
      </w:r>
      <w:r w:rsidR="00B42B8F" w:rsidRPr="005661DE">
        <w:rPr>
          <w:rFonts w:hint="eastAsia"/>
        </w:rPr>
        <w:t>提供经验和借鉴</w:t>
      </w:r>
      <w:r w:rsidRPr="005661DE">
        <w:rPr>
          <w:rFonts w:hint="eastAsia"/>
        </w:rPr>
        <w:t>。</w:t>
      </w:r>
    </w:p>
    <w:p w14:paraId="2519B823" w14:textId="77777777" w:rsidR="009E688C" w:rsidRPr="005661DE" w:rsidRDefault="009E688C" w:rsidP="008C2522">
      <w:pPr>
        <w:snapToGrid w:val="0"/>
        <w:spacing w:line="300" w:lineRule="auto"/>
      </w:pPr>
      <w:r w:rsidRPr="005661DE">
        <w:rPr>
          <w:rFonts w:hint="eastAsia"/>
        </w:rPr>
        <w:t>（</w:t>
      </w:r>
      <w:r w:rsidRPr="005661DE">
        <w:t>3</w:t>
      </w:r>
      <w:r w:rsidRPr="005661DE">
        <w:rPr>
          <w:rFonts w:hint="eastAsia"/>
        </w:rPr>
        <w:t>）总结认罪认罚从宽背景下检察机关量刑建议权存在的问题。结合各地检察院的司法实践和《刑事诉讼法》的修改，总结和分析现行立法和实务中检察机关量刑建议权存在的问题。</w:t>
      </w:r>
    </w:p>
    <w:p w14:paraId="66B9E610" w14:textId="77777777" w:rsidR="009E688C" w:rsidRPr="005661DE" w:rsidRDefault="009E688C" w:rsidP="008C2522">
      <w:pPr>
        <w:snapToGrid w:val="0"/>
        <w:spacing w:line="300" w:lineRule="auto"/>
      </w:pPr>
      <w:r w:rsidRPr="005661DE">
        <w:rPr>
          <w:rFonts w:hint="eastAsia"/>
        </w:rPr>
        <w:t>（</w:t>
      </w:r>
      <w:r w:rsidRPr="005661DE">
        <w:t>4</w:t>
      </w:r>
      <w:r w:rsidRPr="005661DE">
        <w:rPr>
          <w:rFonts w:hint="eastAsia"/>
        </w:rPr>
        <w:t>）在揭示和总结问题的基础上，结合试点工作和新《刑事诉讼法》实施后的司法实践，借鉴域外经验，为完善认罪认罚从宽制度中检察机关量刑建议权，提出有针对性的相关建议，以促进量刑建议权的科学配置和合理行使。</w:t>
      </w:r>
    </w:p>
    <w:p w14:paraId="04BBDB5E" w14:textId="77777777" w:rsidR="009E688C" w:rsidRPr="005661DE" w:rsidRDefault="009E688C" w:rsidP="008C2522">
      <w:pPr>
        <w:pStyle w:val="3"/>
        <w:snapToGrid w:val="0"/>
      </w:pPr>
      <w:r w:rsidRPr="005661DE">
        <w:t>2.</w:t>
      </w:r>
      <w:r w:rsidRPr="005661DE">
        <w:rPr>
          <w:rFonts w:hint="eastAsia"/>
        </w:rPr>
        <w:t>研究方法</w:t>
      </w:r>
    </w:p>
    <w:p w14:paraId="35DB59AD" w14:textId="77777777" w:rsidR="009E688C" w:rsidRPr="005661DE" w:rsidRDefault="009E688C" w:rsidP="008C2522">
      <w:pPr>
        <w:snapToGrid w:val="0"/>
        <w:spacing w:line="300" w:lineRule="auto"/>
      </w:pPr>
      <w:r w:rsidRPr="005661DE">
        <w:rPr>
          <w:rFonts w:hint="eastAsia"/>
        </w:rPr>
        <w:t>（</w:t>
      </w:r>
      <w:r w:rsidRPr="005661DE">
        <w:t>1</w:t>
      </w:r>
      <w:r w:rsidRPr="005661DE">
        <w:rPr>
          <w:rFonts w:hint="eastAsia"/>
        </w:rPr>
        <w:t>）实证研究法。通过对各地认罪认罚案件中检察机关量刑建议权开展情况的相关数据的观察，结合具体个案分析，归纳量刑建议权的发展轨迹和存在的问题。</w:t>
      </w:r>
    </w:p>
    <w:p w14:paraId="3B0C01FD" w14:textId="77777777" w:rsidR="009E688C" w:rsidRPr="005661DE" w:rsidRDefault="009E688C" w:rsidP="008C2522">
      <w:pPr>
        <w:snapToGrid w:val="0"/>
        <w:spacing w:line="300" w:lineRule="auto"/>
      </w:pPr>
      <w:r w:rsidRPr="005661DE">
        <w:rPr>
          <w:rFonts w:hint="eastAsia"/>
        </w:rPr>
        <w:t>（</w:t>
      </w:r>
      <w:r w:rsidRPr="005661DE">
        <w:t>2</w:t>
      </w:r>
      <w:r w:rsidRPr="005661DE">
        <w:rPr>
          <w:rFonts w:hint="eastAsia"/>
        </w:rPr>
        <w:t>）文献研究法。本文是在参考众多国内外学术研究成果</w:t>
      </w:r>
      <w:r w:rsidR="00CA6AA8" w:rsidRPr="005661DE">
        <w:rPr>
          <w:rFonts w:hint="eastAsia"/>
        </w:rPr>
        <w:t>的基础上完成的。查阅大量资料中</w:t>
      </w:r>
      <w:r w:rsidRPr="005661DE">
        <w:rPr>
          <w:rFonts w:hint="eastAsia"/>
        </w:rPr>
        <w:t>学者</w:t>
      </w:r>
      <w:r w:rsidR="00CA6AA8" w:rsidRPr="005661DE">
        <w:rPr>
          <w:rFonts w:hint="eastAsia"/>
        </w:rPr>
        <w:t>们</w:t>
      </w:r>
      <w:r w:rsidRPr="005661DE">
        <w:rPr>
          <w:rFonts w:hint="eastAsia"/>
        </w:rPr>
        <w:t>的相关研究，结合当下认罪认罚从宽制度下检察机关量刑建议权的实践经验，指出其量刑建议权存在的问题，并针对性地提出完善意见。</w:t>
      </w:r>
    </w:p>
    <w:p w14:paraId="56B50CF8" w14:textId="77777777" w:rsidR="009E688C" w:rsidRPr="005661DE" w:rsidRDefault="009E688C" w:rsidP="008C2522">
      <w:pPr>
        <w:snapToGrid w:val="0"/>
        <w:spacing w:line="300" w:lineRule="auto"/>
      </w:pPr>
      <w:r w:rsidRPr="005661DE">
        <w:rPr>
          <w:rFonts w:hint="eastAsia"/>
        </w:rPr>
        <w:t>（</w:t>
      </w:r>
      <w:r w:rsidRPr="005661DE">
        <w:t>3</w:t>
      </w:r>
      <w:r w:rsidRPr="005661DE">
        <w:rPr>
          <w:rFonts w:hint="eastAsia"/>
        </w:rPr>
        <w:t>）比较研究法。通过对美国、英国等其他国家较为成熟的辩诉交易等类似制度的介绍，看到域外赋予被告人诉讼选择权从而保证认罪的真实性，建立协商失效规则来保证认罪认罚从宽制度正常运行等做法，从而认识到我国认罪认罚从宽制度中检察机关量刑建议权存在的问题。</w:t>
      </w:r>
    </w:p>
    <w:p w14:paraId="7ABF5990" w14:textId="77777777" w:rsidR="009E688C" w:rsidRDefault="009E688C" w:rsidP="008C2522">
      <w:pPr>
        <w:snapToGrid w:val="0"/>
        <w:spacing w:line="300" w:lineRule="auto"/>
      </w:pPr>
      <w:r w:rsidRPr="005661DE">
        <w:rPr>
          <w:rFonts w:hint="eastAsia"/>
        </w:rPr>
        <w:t>（</w:t>
      </w:r>
      <w:r w:rsidRPr="005661DE">
        <w:t>4</w:t>
      </w:r>
      <w:r w:rsidRPr="005661DE">
        <w:rPr>
          <w:rFonts w:hint="eastAsia"/>
        </w:rPr>
        <w:t>）价值分析法。即通过认知和评判社会现象的价值属性，求证一定社会价值的方法。本文运用价值分析法对认罪认罚从宽制度下检察机关量刑建议权的价值进行分析和研判，结合当下实践的经验和立法现状，对量刑建议权发挥的作用和成效予以认可的同时，找出其中存在的问题，并提出相应的解决办法。</w:t>
      </w:r>
    </w:p>
    <w:p w14:paraId="77C41743" w14:textId="77777777" w:rsidR="00244D89" w:rsidRDefault="00244D89" w:rsidP="008C2522">
      <w:pPr>
        <w:snapToGrid w:val="0"/>
        <w:spacing w:line="300" w:lineRule="auto"/>
      </w:pPr>
    </w:p>
    <w:p w14:paraId="38BD5DE6" w14:textId="77777777" w:rsidR="00244D89" w:rsidRDefault="00244D89" w:rsidP="008C2522">
      <w:pPr>
        <w:snapToGrid w:val="0"/>
        <w:spacing w:line="300" w:lineRule="auto"/>
      </w:pPr>
    </w:p>
    <w:p w14:paraId="53C8246F" w14:textId="77777777" w:rsidR="00244D89" w:rsidRDefault="00244D89" w:rsidP="008C2522">
      <w:pPr>
        <w:snapToGrid w:val="0"/>
        <w:spacing w:line="300" w:lineRule="auto"/>
      </w:pPr>
    </w:p>
    <w:p w14:paraId="402A9509" w14:textId="77777777" w:rsidR="00244D89" w:rsidRDefault="00244D89" w:rsidP="008C2522">
      <w:pPr>
        <w:snapToGrid w:val="0"/>
        <w:spacing w:line="300" w:lineRule="auto"/>
      </w:pPr>
    </w:p>
    <w:p w14:paraId="3CA44486" w14:textId="77777777" w:rsidR="00244D89" w:rsidRDefault="00244D89" w:rsidP="008C2522">
      <w:pPr>
        <w:snapToGrid w:val="0"/>
        <w:spacing w:line="300" w:lineRule="auto"/>
      </w:pPr>
    </w:p>
    <w:p w14:paraId="04E5A2BF" w14:textId="77777777" w:rsidR="00244D89" w:rsidRDefault="00244D89" w:rsidP="008C2522">
      <w:pPr>
        <w:snapToGrid w:val="0"/>
        <w:spacing w:line="300" w:lineRule="auto"/>
      </w:pPr>
    </w:p>
    <w:p w14:paraId="78A13999" w14:textId="77777777" w:rsidR="00244D89" w:rsidRDefault="00244D89" w:rsidP="008C2522">
      <w:pPr>
        <w:snapToGrid w:val="0"/>
        <w:spacing w:line="300" w:lineRule="auto"/>
      </w:pPr>
    </w:p>
    <w:p w14:paraId="5C2B95F8" w14:textId="77777777" w:rsidR="00244D89" w:rsidRDefault="00244D89" w:rsidP="008C2522">
      <w:pPr>
        <w:snapToGrid w:val="0"/>
        <w:spacing w:line="300" w:lineRule="auto"/>
      </w:pPr>
    </w:p>
    <w:p w14:paraId="0F2540CF" w14:textId="77777777" w:rsidR="00244D89" w:rsidRDefault="00244D89" w:rsidP="008C2522">
      <w:pPr>
        <w:snapToGrid w:val="0"/>
        <w:spacing w:line="300" w:lineRule="auto"/>
      </w:pPr>
    </w:p>
    <w:p w14:paraId="23340664" w14:textId="77777777" w:rsidR="00244D89" w:rsidRDefault="00244D89" w:rsidP="008C2522">
      <w:pPr>
        <w:snapToGrid w:val="0"/>
        <w:spacing w:line="300" w:lineRule="auto"/>
      </w:pPr>
    </w:p>
    <w:p w14:paraId="1DE5DEDB" w14:textId="77777777" w:rsidR="00244D89" w:rsidRDefault="00244D89" w:rsidP="008C2522">
      <w:pPr>
        <w:snapToGrid w:val="0"/>
        <w:spacing w:line="300" w:lineRule="auto"/>
      </w:pPr>
    </w:p>
    <w:p w14:paraId="16A337B3" w14:textId="77777777" w:rsidR="00244D89" w:rsidRDefault="00244D89" w:rsidP="008C2522">
      <w:pPr>
        <w:snapToGrid w:val="0"/>
        <w:spacing w:line="300" w:lineRule="auto"/>
      </w:pPr>
    </w:p>
    <w:p w14:paraId="0E9C9417" w14:textId="77777777" w:rsidR="00244D89" w:rsidRDefault="00244D89" w:rsidP="008C2522">
      <w:pPr>
        <w:snapToGrid w:val="0"/>
        <w:spacing w:line="300" w:lineRule="auto"/>
      </w:pPr>
    </w:p>
    <w:p w14:paraId="27E9E377" w14:textId="77777777" w:rsidR="00244D89" w:rsidRDefault="00244D89" w:rsidP="008C2522">
      <w:pPr>
        <w:snapToGrid w:val="0"/>
        <w:spacing w:line="300" w:lineRule="auto"/>
      </w:pPr>
    </w:p>
    <w:p w14:paraId="52C80D0B" w14:textId="77777777" w:rsidR="00244D89" w:rsidRPr="005661DE" w:rsidRDefault="00244D89" w:rsidP="008C2522">
      <w:pPr>
        <w:snapToGrid w:val="0"/>
        <w:spacing w:line="300" w:lineRule="auto"/>
      </w:pPr>
    </w:p>
    <w:p w14:paraId="19DBD07E" w14:textId="77777777" w:rsidR="009E688C" w:rsidRPr="005661DE" w:rsidRDefault="009E688C" w:rsidP="008C2522">
      <w:pPr>
        <w:snapToGrid w:val="0"/>
        <w:spacing w:line="300" w:lineRule="auto"/>
      </w:pPr>
    </w:p>
    <w:p w14:paraId="20DA29E6" w14:textId="77777777" w:rsidR="009E688C" w:rsidRPr="005661DE" w:rsidRDefault="009E688C" w:rsidP="008C2522">
      <w:pPr>
        <w:pStyle w:val="1"/>
        <w:snapToGrid w:val="0"/>
      </w:pPr>
      <w:bookmarkStart w:id="8" w:name="_Toc36842040"/>
      <w:bookmarkStart w:id="9" w:name="_Toc36844712"/>
      <w:r w:rsidRPr="005661DE">
        <w:rPr>
          <w:rFonts w:hint="eastAsia"/>
        </w:rPr>
        <w:lastRenderedPageBreak/>
        <w:t>一、认罪认罚从宽制度下检察机关量刑建议权的</w:t>
      </w:r>
      <w:bookmarkEnd w:id="8"/>
      <w:bookmarkEnd w:id="9"/>
      <w:r w:rsidR="0005267D">
        <w:rPr>
          <w:rFonts w:hint="eastAsia"/>
        </w:rPr>
        <w:t>沿革</w:t>
      </w:r>
    </w:p>
    <w:p w14:paraId="6C8611E7" w14:textId="77777777" w:rsidR="009E688C" w:rsidRPr="005661DE" w:rsidRDefault="009E688C" w:rsidP="008C2522">
      <w:pPr>
        <w:snapToGrid w:val="0"/>
        <w:spacing w:line="300" w:lineRule="auto"/>
      </w:pPr>
    </w:p>
    <w:p w14:paraId="6E69B158" w14:textId="77777777" w:rsidR="009E688C" w:rsidRPr="005661DE" w:rsidRDefault="009E688C" w:rsidP="008C2522">
      <w:pPr>
        <w:pStyle w:val="2"/>
        <w:snapToGrid w:val="0"/>
      </w:pPr>
      <w:bookmarkStart w:id="10" w:name="_Toc36842041"/>
      <w:bookmarkStart w:id="11" w:name="_Toc36844713"/>
      <w:r w:rsidRPr="005661DE">
        <w:rPr>
          <w:rFonts w:hint="eastAsia"/>
        </w:rPr>
        <w:t>（一）检察机关量刑建议权的</w:t>
      </w:r>
      <w:bookmarkEnd w:id="10"/>
      <w:bookmarkEnd w:id="11"/>
      <w:r w:rsidR="0005267D">
        <w:rPr>
          <w:rFonts w:hint="eastAsia"/>
        </w:rPr>
        <w:t>变迁</w:t>
      </w:r>
    </w:p>
    <w:p w14:paraId="67C5627F" w14:textId="77777777" w:rsidR="009E688C" w:rsidRPr="005661DE" w:rsidRDefault="009E688C" w:rsidP="008C2522">
      <w:pPr>
        <w:snapToGrid w:val="0"/>
        <w:spacing w:line="300" w:lineRule="auto"/>
      </w:pPr>
      <w:r w:rsidRPr="005661DE">
        <w:rPr>
          <w:rFonts w:hint="eastAsia"/>
        </w:rPr>
        <w:t>“量刑建议，是指检察机关在提起公诉后，就有罪被告人的量刑种类和量刑幅度向法院提出的法律意见。”</w:t>
      </w:r>
      <w:r w:rsidRPr="006146D6">
        <w:rPr>
          <w:vertAlign w:val="superscript"/>
        </w:rPr>
        <w:footnoteReference w:id="1"/>
      </w:r>
      <w:r w:rsidRPr="005661DE">
        <w:rPr>
          <w:rFonts w:hint="eastAsia"/>
        </w:rPr>
        <w:t>量刑建议权，亦称量刑请求权，是指检察机</w:t>
      </w:r>
      <w:r w:rsidR="00545E09" w:rsidRPr="005661DE">
        <w:rPr>
          <w:rFonts w:hint="eastAsia"/>
        </w:rPr>
        <w:t>关在刑事诉讼中，根据被告人实施的犯罪行为、情节和后果，就被告人所应判处的刑罚向审判机关提出</w:t>
      </w:r>
      <w:r w:rsidR="00F21A38" w:rsidRPr="005661DE">
        <w:rPr>
          <w:rFonts w:hint="eastAsia"/>
        </w:rPr>
        <w:t>建议的一种权力。学界大多认为</w:t>
      </w:r>
      <w:r w:rsidRPr="005661DE">
        <w:rPr>
          <w:rFonts w:hint="eastAsia"/>
        </w:rPr>
        <w:t>，</w:t>
      </w:r>
      <w:r w:rsidR="00F21A38" w:rsidRPr="005661DE">
        <w:rPr>
          <w:rFonts w:hint="eastAsia"/>
        </w:rPr>
        <w:t>作为检察机关公诉权重要的一部分，</w:t>
      </w:r>
      <w:r w:rsidR="008F7FA8" w:rsidRPr="005661DE">
        <w:rPr>
          <w:rFonts w:hint="eastAsia"/>
        </w:rPr>
        <w:t>量刑建议权</w:t>
      </w:r>
      <w:r w:rsidR="00F21A38" w:rsidRPr="005661DE">
        <w:rPr>
          <w:rFonts w:hint="eastAsia"/>
        </w:rPr>
        <w:t>在提高量刑公正性、加快案件审理、保障诉讼参与人的权利等方面发挥关键</w:t>
      </w:r>
      <w:r w:rsidRPr="005661DE">
        <w:rPr>
          <w:rFonts w:hint="eastAsia"/>
        </w:rPr>
        <w:t>作用</w:t>
      </w:r>
      <w:r w:rsidR="00F21A38" w:rsidRPr="005661DE">
        <w:rPr>
          <w:rFonts w:hint="eastAsia"/>
        </w:rPr>
        <w:t>。</w:t>
      </w:r>
      <w:r w:rsidRPr="005661DE">
        <w:rPr>
          <w:rFonts w:hint="eastAsia"/>
        </w:rPr>
        <w:t>量刑建议权和定罪建议权，构成检察机关出</w:t>
      </w:r>
      <w:r w:rsidR="004A6F43" w:rsidRPr="005661DE">
        <w:rPr>
          <w:rFonts w:hint="eastAsia"/>
        </w:rPr>
        <w:t>庭支持公诉中的两个重要环节，二者有着密不可分的关系。定罪建议权作为行使量刑建议权的</w:t>
      </w:r>
      <w:r w:rsidR="00F21A38" w:rsidRPr="005661DE">
        <w:rPr>
          <w:rFonts w:hint="eastAsia"/>
        </w:rPr>
        <w:t>前提，量刑建议权则是</w:t>
      </w:r>
      <w:r w:rsidR="00CF2857" w:rsidRPr="005661DE">
        <w:rPr>
          <w:rFonts w:hint="eastAsia"/>
        </w:rPr>
        <w:t>行使</w:t>
      </w:r>
      <w:r w:rsidR="00F21A38" w:rsidRPr="005661DE">
        <w:rPr>
          <w:rFonts w:hint="eastAsia"/>
        </w:rPr>
        <w:t>定罪建议权</w:t>
      </w:r>
      <w:r w:rsidR="00CF2857" w:rsidRPr="005661DE">
        <w:rPr>
          <w:rFonts w:hint="eastAsia"/>
        </w:rPr>
        <w:t>所追求的结果</w:t>
      </w:r>
      <w:r w:rsidR="00537245" w:rsidRPr="005661DE">
        <w:rPr>
          <w:rFonts w:hint="eastAsia"/>
        </w:rPr>
        <w:t>。量刑建议权起着关键</w:t>
      </w:r>
      <w:r w:rsidRPr="005661DE">
        <w:rPr>
          <w:rFonts w:hint="eastAsia"/>
        </w:rPr>
        <w:t>作用，</w:t>
      </w:r>
      <w:r w:rsidR="00537245" w:rsidRPr="005661DE">
        <w:rPr>
          <w:rFonts w:hint="eastAsia"/>
        </w:rPr>
        <w:t>是定罪建议权实现的具体化，也是国家实现刑罚权得以实现的必要</w:t>
      </w:r>
      <w:r w:rsidRPr="005661DE">
        <w:rPr>
          <w:rFonts w:hint="eastAsia"/>
        </w:rPr>
        <w:t>环节。</w:t>
      </w:r>
    </w:p>
    <w:p w14:paraId="1A6080C6" w14:textId="77777777" w:rsidR="009E688C" w:rsidRPr="005661DE" w:rsidRDefault="00537245" w:rsidP="008C2522">
      <w:pPr>
        <w:snapToGrid w:val="0"/>
        <w:spacing w:line="300" w:lineRule="auto"/>
      </w:pPr>
      <w:r w:rsidRPr="005661DE">
        <w:rPr>
          <w:rFonts w:hint="eastAsia"/>
        </w:rPr>
        <w:t>在我国的检察制度中，量刑建议权并非原始的检察权。上个世纪末，</w:t>
      </w:r>
      <w:r w:rsidR="009E688C" w:rsidRPr="005661DE">
        <w:rPr>
          <w:rFonts w:hint="eastAsia"/>
        </w:rPr>
        <w:t>我国检察机关</w:t>
      </w:r>
      <w:r w:rsidRPr="005661DE">
        <w:rPr>
          <w:rFonts w:hint="eastAsia"/>
        </w:rPr>
        <w:t>开始对量刑建议权进行</w:t>
      </w:r>
      <w:r w:rsidR="009E688C" w:rsidRPr="005661DE">
        <w:rPr>
          <w:rFonts w:hint="eastAsia"/>
        </w:rPr>
        <w:t>探索。</w:t>
      </w:r>
      <w:r w:rsidR="003C7600">
        <w:rPr>
          <w:rFonts w:hint="eastAsia"/>
        </w:rPr>
        <w:t>1999</w:t>
      </w:r>
      <w:r w:rsidR="003C7600">
        <w:rPr>
          <w:rFonts w:hint="eastAsia"/>
        </w:rPr>
        <w:t>年</w:t>
      </w:r>
      <w:r w:rsidR="003C7600">
        <w:rPr>
          <w:rFonts w:hint="eastAsia"/>
        </w:rPr>
        <w:t>8</w:t>
      </w:r>
      <w:r w:rsidR="003C7600">
        <w:rPr>
          <w:rFonts w:hint="eastAsia"/>
        </w:rPr>
        <w:t>月，北京市</w:t>
      </w:r>
      <w:r w:rsidR="009E688C" w:rsidRPr="005661DE">
        <w:rPr>
          <w:rFonts w:hint="eastAsia"/>
        </w:rPr>
        <w:t>东城区人民检察院</w:t>
      </w:r>
      <w:r w:rsidR="00CF2857" w:rsidRPr="005661DE">
        <w:rPr>
          <w:rFonts w:hint="eastAsia"/>
        </w:rPr>
        <w:t>开始</w:t>
      </w:r>
      <w:r w:rsidR="009E688C" w:rsidRPr="005661DE">
        <w:rPr>
          <w:rFonts w:hint="eastAsia"/>
        </w:rPr>
        <w:t>尝试</w:t>
      </w:r>
      <w:r w:rsidR="00CF2857" w:rsidRPr="005661DE">
        <w:rPr>
          <w:rFonts w:hint="eastAsia"/>
        </w:rPr>
        <w:t>了</w:t>
      </w:r>
      <w:r w:rsidR="009E688C" w:rsidRPr="005661DE">
        <w:rPr>
          <w:rFonts w:hint="eastAsia"/>
        </w:rPr>
        <w:t>“公诉人当庭发表量刑意见”</w:t>
      </w:r>
      <w:r w:rsidR="00CF2857" w:rsidRPr="005661DE">
        <w:rPr>
          <w:rFonts w:hint="eastAsia"/>
        </w:rPr>
        <w:t>的模式</w:t>
      </w:r>
      <w:r w:rsidR="009E688C" w:rsidRPr="005661DE">
        <w:rPr>
          <w:rFonts w:hint="eastAsia"/>
        </w:rPr>
        <w:t>，</w:t>
      </w:r>
      <w:r w:rsidR="008F7FA8">
        <w:rPr>
          <w:rFonts w:hint="eastAsia"/>
        </w:rPr>
        <w:t>标志着我国开始了对量刑建议制度的初步探索</w:t>
      </w:r>
      <w:r w:rsidR="009E688C" w:rsidRPr="005661DE">
        <w:rPr>
          <w:rFonts w:hint="eastAsia"/>
        </w:rPr>
        <w:t>。</w:t>
      </w:r>
      <w:r w:rsidR="009E688C" w:rsidRPr="006146D6">
        <w:rPr>
          <w:vertAlign w:val="superscript"/>
        </w:rPr>
        <w:footnoteReference w:id="2"/>
      </w:r>
      <w:r w:rsidR="009E688C" w:rsidRPr="005661DE">
        <w:rPr>
          <w:rFonts w:hint="eastAsia"/>
        </w:rPr>
        <w:t>浙江省宁波市北仑区人民检察院于</w:t>
      </w:r>
      <w:r w:rsidR="009E688C" w:rsidRPr="005661DE">
        <w:t>2003</w:t>
      </w:r>
      <w:r w:rsidR="009E688C" w:rsidRPr="005661DE">
        <w:rPr>
          <w:rFonts w:hint="eastAsia"/>
        </w:rPr>
        <w:t>年</w:t>
      </w:r>
      <w:r w:rsidR="009E688C" w:rsidRPr="005661DE">
        <w:t>6</w:t>
      </w:r>
      <w:r w:rsidR="009E688C" w:rsidRPr="005661DE">
        <w:rPr>
          <w:rFonts w:hint="eastAsia"/>
        </w:rPr>
        <w:t>月开始推行量刑建议制度，成为浙江省最早探索量刑建议权的检察院。</w:t>
      </w:r>
      <w:r w:rsidR="009E688C" w:rsidRPr="006146D6">
        <w:rPr>
          <w:vertAlign w:val="superscript"/>
        </w:rPr>
        <w:footnoteReference w:id="3"/>
      </w:r>
      <w:r w:rsidR="007B7193">
        <w:rPr>
          <w:rFonts w:hint="eastAsia"/>
        </w:rPr>
        <w:t>在我国，检察机关</w:t>
      </w:r>
      <w:r w:rsidR="002C1610">
        <w:rPr>
          <w:rFonts w:hint="eastAsia"/>
        </w:rPr>
        <w:t>整体对量刑建议制度进行系统性的探索开始于</w:t>
      </w:r>
      <w:r w:rsidR="002A654E">
        <w:rPr>
          <w:rFonts w:hint="eastAsia"/>
        </w:rPr>
        <w:t>2005</w:t>
      </w:r>
      <w:r w:rsidR="002A654E">
        <w:rPr>
          <w:rFonts w:hint="eastAsia"/>
        </w:rPr>
        <w:t>年</w:t>
      </w:r>
      <w:r w:rsidR="002A654E">
        <w:rPr>
          <w:rFonts w:hint="eastAsia"/>
        </w:rPr>
        <w:t>7</w:t>
      </w:r>
      <w:r w:rsidR="002A654E">
        <w:rPr>
          <w:rFonts w:hint="eastAsia"/>
        </w:rPr>
        <w:t>月颁布的《人民检察量刑建议试点工作实施意见》</w:t>
      </w:r>
      <w:r w:rsidR="00C62878">
        <w:rPr>
          <w:rFonts w:hint="eastAsia"/>
        </w:rPr>
        <w:t>，</w:t>
      </w:r>
      <w:r w:rsidR="002A654E">
        <w:rPr>
          <w:rFonts w:hint="eastAsia"/>
        </w:rPr>
        <w:t>该份试点意见明确了量刑建议作为检察改革项目的核心内容，并在初步选取的十余个单位开展试点工作。</w:t>
      </w:r>
      <w:r w:rsidR="002A654E" w:rsidRPr="005661DE">
        <w:t xml:space="preserve"> </w:t>
      </w:r>
      <w:r w:rsidR="009E688C" w:rsidRPr="005661DE">
        <w:t>2010</w:t>
      </w:r>
      <w:r w:rsidR="009E688C" w:rsidRPr="005661DE">
        <w:rPr>
          <w:rFonts w:hint="eastAsia"/>
        </w:rPr>
        <w:t>年</w:t>
      </w:r>
      <w:r w:rsidR="009E688C" w:rsidRPr="005661DE">
        <w:t>2</w:t>
      </w:r>
      <w:r w:rsidR="009E688C" w:rsidRPr="005661DE">
        <w:rPr>
          <w:rFonts w:hint="eastAsia"/>
        </w:rPr>
        <w:t>月，最高检公诉厅发布了《人民检察院</w:t>
      </w:r>
      <w:r w:rsidR="0008438D" w:rsidRPr="005661DE">
        <w:rPr>
          <w:rFonts w:hint="eastAsia"/>
        </w:rPr>
        <w:t>开展量刑建议工作的指导意见（试行）》，</w:t>
      </w:r>
      <w:r w:rsidR="0093773B" w:rsidRPr="005661DE">
        <w:rPr>
          <w:rFonts w:hint="eastAsia"/>
        </w:rPr>
        <w:t>明确了</w:t>
      </w:r>
      <w:r w:rsidR="009E688C" w:rsidRPr="005661DE">
        <w:rPr>
          <w:rFonts w:hint="eastAsia"/>
        </w:rPr>
        <w:t>人民检察院有权就被告人的行为，</w:t>
      </w:r>
      <w:r w:rsidR="00674855" w:rsidRPr="005661DE">
        <w:rPr>
          <w:rFonts w:hint="eastAsia"/>
        </w:rPr>
        <w:t>向法院提出合理建议，包括</w:t>
      </w:r>
      <w:r w:rsidR="009E688C" w:rsidRPr="005661DE">
        <w:rPr>
          <w:rFonts w:hint="eastAsia"/>
        </w:rPr>
        <w:t>其</w:t>
      </w:r>
      <w:r w:rsidR="00674855" w:rsidRPr="005661DE">
        <w:rPr>
          <w:rFonts w:hint="eastAsia"/>
        </w:rPr>
        <w:t>应</w:t>
      </w:r>
      <w:r w:rsidR="000C3514" w:rsidRPr="005661DE">
        <w:rPr>
          <w:rFonts w:hint="eastAsia"/>
        </w:rPr>
        <w:t>适用</w:t>
      </w:r>
      <w:r w:rsidR="009E688C" w:rsidRPr="005661DE">
        <w:rPr>
          <w:rFonts w:hint="eastAsia"/>
        </w:rPr>
        <w:t>刑罚</w:t>
      </w:r>
      <w:r w:rsidR="000C3514" w:rsidRPr="005661DE">
        <w:rPr>
          <w:rFonts w:hint="eastAsia"/>
        </w:rPr>
        <w:t>的</w:t>
      </w:r>
      <w:r w:rsidR="009E688C" w:rsidRPr="005661DE">
        <w:rPr>
          <w:rFonts w:hint="eastAsia"/>
        </w:rPr>
        <w:t>种类、幅度及执行方式等。该意见的试行有力地推动了量刑建议的规范化发展。由此可见，量刑建议权应</w:t>
      </w:r>
      <w:r w:rsidR="00884A02" w:rsidRPr="005661DE">
        <w:rPr>
          <w:rFonts w:hint="eastAsia"/>
        </w:rPr>
        <w:t>由</w:t>
      </w:r>
      <w:r w:rsidR="009E688C" w:rsidRPr="005661DE">
        <w:rPr>
          <w:rFonts w:hint="eastAsia"/>
        </w:rPr>
        <w:t>作为公诉机关的人民检察院所享有，应属于公诉机关行使的公诉权的一部分。“量刑建议的最初推行，便体现了公诉权对审判权的制约，检察机关对审判机关的监督。”</w:t>
      </w:r>
      <w:r w:rsidR="009E688C" w:rsidRPr="006146D6">
        <w:rPr>
          <w:vertAlign w:val="superscript"/>
        </w:rPr>
        <w:footnoteReference w:id="4"/>
      </w:r>
      <w:r w:rsidR="009E688C" w:rsidRPr="005661DE">
        <w:t>2010</w:t>
      </w:r>
      <w:r w:rsidR="009E688C" w:rsidRPr="005661DE">
        <w:rPr>
          <w:rFonts w:hint="eastAsia"/>
        </w:rPr>
        <w:t>年</w:t>
      </w:r>
      <w:r w:rsidR="009E688C" w:rsidRPr="005661DE">
        <w:t>9</w:t>
      </w:r>
      <w:r w:rsidR="009E688C" w:rsidRPr="005661DE">
        <w:rPr>
          <w:rFonts w:hint="eastAsia"/>
        </w:rPr>
        <w:t>月</w:t>
      </w:r>
      <w:r w:rsidR="009E688C" w:rsidRPr="005661DE">
        <w:t>13</w:t>
      </w:r>
      <w:r w:rsidR="009E688C" w:rsidRPr="005661DE">
        <w:rPr>
          <w:rFonts w:hint="eastAsia"/>
        </w:rPr>
        <w:t>日，“两高三部”联合签发，同年</w:t>
      </w:r>
      <w:r w:rsidR="009E688C" w:rsidRPr="005661DE">
        <w:t>10</w:t>
      </w:r>
      <w:r w:rsidR="009E688C" w:rsidRPr="005661DE">
        <w:rPr>
          <w:rFonts w:hint="eastAsia"/>
        </w:rPr>
        <w:t>月</w:t>
      </w:r>
      <w:r w:rsidR="009E688C" w:rsidRPr="005661DE">
        <w:t>1</w:t>
      </w:r>
      <w:r w:rsidR="009E688C" w:rsidRPr="005661DE">
        <w:rPr>
          <w:rFonts w:hint="eastAsia"/>
        </w:rPr>
        <w:t>日实施的《关于规范量刑程序若干问题的意见（试行）》，是我国第一个中央司法机关联合颁布的有关量刑程序的规范性文件，</w:t>
      </w:r>
      <w:r w:rsidR="002C1610">
        <w:rPr>
          <w:rFonts w:hint="eastAsia"/>
        </w:rPr>
        <w:t>确立</w:t>
      </w:r>
      <w:r w:rsidR="009E688C" w:rsidRPr="005661DE">
        <w:rPr>
          <w:rFonts w:hint="eastAsia"/>
        </w:rPr>
        <w:t>了“</w:t>
      </w:r>
      <w:r w:rsidR="002B1C60" w:rsidRPr="005661DE">
        <w:rPr>
          <w:rFonts w:hint="eastAsia"/>
        </w:rPr>
        <w:t>检察机关提起的公诉案件时</w:t>
      </w:r>
      <w:r w:rsidR="002C1610">
        <w:rPr>
          <w:rFonts w:hint="eastAsia"/>
        </w:rPr>
        <w:t>可以行使量刑建议权</w:t>
      </w:r>
      <w:r w:rsidR="009E688C" w:rsidRPr="005661DE">
        <w:rPr>
          <w:rFonts w:hint="eastAsia"/>
        </w:rPr>
        <w:t>”</w:t>
      </w:r>
      <w:r w:rsidR="002B1C60" w:rsidRPr="005661DE">
        <w:rPr>
          <w:rFonts w:hint="eastAsia"/>
        </w:rPr>
        <w:t>的做法</w:t>
      </w:r>
      <w:r w:rsidR="00592E3C" w:rsidRPr="005661DE">
        <w:rPr>
          <w:rFonts w:hint="eastAsia"/>
        </w:rPr>
        <w:t>，并规范</w:t>
      </w:r>
      <w:r w:rsidR="009E688C" w:rsidRPr="005661DE">
        <w:rPr>
          <w:rFonts w:hint="eastAsia"/>
        </w:rPr>
        <w:t>了</w:t>
      </w:r>
      <w:r w:rsidR="00EF51E1" w:rsidRPr="005661DE">
        <w:rPr>
          <w:rFonts w:hint="eastAsia"/>
        </w:rPr>
        <w:t>检察机关</w:t>
      </w:r>
      <w:r w:rsidR="004C3F7A" w:rsidRPr="005661DE">
        <w:rPr>
          <w:rFonts w:hint="eastAsia"/>
        </w:rPr>
        <w:t>提出</w:t>
      </w:r>
      <w:r w:rsidR="00EF51E1" w:rsidRPr="005661DE">
        <w:rPr>
          <w:rFonts w:hint="eastAsia"/>
        </w:rPr>
        <w:t>量刑</w:t>
      </w:r>
      <w:r w:rsidR="004C3F7A" w:rsidRPr="005661DE">
        <w:rPr>
          <w:rFonts w:hint="eastAsia"/>
        </w:rPr>
        <w:t>建议</w:t>
      </w:r>
      <w:r w:rsidR="00EF51E1" w:rsidRPr="005661DE">
        <w:rPr>
          <w:rFonts w:hint="eastAsia"/>
        </w:rPr>
        <w:t>时应具有的内容及方式，</w:t>
      </w:r>
      <w:r w:rsidR="00592E3C" w:rsidRPr="005661DE">
        <w:rPr>
          <w:rFonts w:hint="eastAsia"/>
        </w:rPr>
        <w:t>为推进量刑建议权</w:t>
      </w:r>
      <w:r w:rsidR="00DA3696" w:rsidRPr="005661DE">
        <w:rPr>
          <w:rFonts w:hint="eastAsia"/>
        </w:rPr>
        <w:t>体制</w:t>
      </w:r>
      <w:r w:rsidR="00592E3C" w:rsidRPr="005661DE">
        <w:rPr>
          <w:rFonts w:hint="eastAsia"/>
        </w:rPr>
        <w:t>的完善提供了根据，</w:t>
      </w:r>
      <w:r w:rsidR="009E688C" w:rsidRPr="005661DE">
        <w:rPr>
          <w:rFonts w:hint="eastAsia"/>
        </w:rPr>
        <w:t>这</w:t>
      </w:r>
      <w:r w:rsidR="004C3F7A" w:rsidRPr="005661DE">
        <w:rPr>
          <w:rFonts w:hint="eastAsia"/>
        </w:rPr>
        <w:t>标志着中国量刑规范化改革步</w:t>
      </w:r>
      <w:r w:rsidR="00EF51E1" w:rsidRPr="005661DE">
        <w:rPr>
          <w:rFonts w:hint="eastAsia"/>
        </w:rPr>
        <w:t>入了一个崭新的</w:t>
      </w:r>
      <w:r w:rsidR="009E688C" w:rsidRPr="005661DE">
        <w:rPr>
          <w:rFonts w:hint="eastAsia"/>
        </w:rPr>
        <w:t>阶段。</w:t>
      </w:r>
      <w:r w:rsidR="009E688C" w:rsidRPr="005661DE">
        <w:t>2010</w:t>
      </w:r>
      <w:r w:rsidR="009E688C" w:rsidRPr="005661DE">
        <w:rPr>
          <w:rFonts w:hint="eastAsia"/>
        </w:rPr>
        <w:t>年</w:t>
      </w:r>
      <w:r w:rsidR="009E688C" w:rsidRPr="005661DE">
        <w:t>10</w:t>
      </w:r>
      <w:r w:rsidR="009E688C" w:rsidRPr="005661DE">
        <w:rPr>
          <w:rFonts w:hint="eastAsia"/>
        </w:rPr>
        <w:t>月</w:t>
      </w:r>
      <w:r w:rsidR="009E688C" w:rsidRPr="005661DE">
        <w:t>13</w:t>
      </w:r>
      <w:r w:rsidR="00871E19" w:rsidRPr="005661DE">
        <w:rPr>
          <w:rFonts w:hint="eastAsia"/>
        </w:rPr>
        <w:t>日，最高检发布了</w:t>
      </w:r>
      <w:r w:rsidR="009E688C" w:rsidRPr="005661DE">
        <w:rPr>
          <w:rFonts w:hint="eastAsia"/>
        </w:rPr>
        <w:t>《关于积极推进量刑规范化改革，全面开展量</w:t>
      </w:r>
      <w:r w:rsidR="00871E19" w:rsidRPr="005661DE">
        <w:rPr>
          <w:rFonts w:hint="eastAsia"/>
        </w:rPr>
        <w:t>刑建议工作的通知》，文件中</w:t>
      </w:r>
      <w:r w:rsidR="00AC72CE" w:rsidRPr="005661DE">
        <w:rPr>
          <w:rFonts w:hint="eastAsia"/>
        </w:rPr>
        <w:t>对检察官行使</w:t>
      </w:r>
      <w:r w:rsidR="009E688C" w:rsidRPr="005661DE">
        <w:rPr>
          <w:rFonts w:hint="eastAsia"/>
        </w:rPr>
        <w:t>量刑建议</w:t>
      </w:r>
      <w:r w:rsidR="00AC72CE" w:rsidRPr="005661DE">
        <w:rPr>
          <w:rFonts w:hint="eastAsia"/>
        </w:rPr>
        <w:t>权作出</w:t>
      </w:r>
      <w:r w:rsidR="009E688C" w:rsidRPr="005661DE">
        <w:rPr>
          <w:rFonts w:hint="eastAsia"/>
        </w:rPr>
        <w:t>了更加具体的要求。</w:t>
      </w:r>
    </w:p>
    <w:p w14:paraId="0338EF38" w14:textId="77777777" w:rsidR="009E688C" w:rsidRPr="005661DE" w:rsidRDefault="009E688C" w:rsidP="008C2522">
      <w:pPr>
        <w:pStyle w:val="2"/>
        <w:snapToGrid w:val="0"/>
      </w:pPr>
      <w:bookmarkStart w:id="12" w:name="_Toc36842042"/>
      <w:bookmarkStart w:id="13" w:name="_Toc36844714"/>
      <w:r w:rsidRPr="005661DE">
        <w:rPr>
          <w:rFonts w:hint="eastAsia"/>
        </w:rPr>
        <w:t>（二）认罪认罚从宽制度下检察机关量刑建议权的新进展</w:t>
      </w:r>
      <w:bookmarkEnd w:id="12"/>
      <w:bookmarkEnd w:id="13"/>
    </w:p>
    <w:p w14:paraId="3A3DEF2A" w14:textId="77777777" w:rsidR="009E688C" w:rsidRPr="005661DE" w:rsidRDefault="009E688C" w:rsidP="008C2522">
      <w:pPr>
        <w:pStyle w:val="3"/>
        <w:snapToGrid w:val="0"/>
      </w:pPr>
      <w:r w:rsidRPr="005661DE">
        <w:t>1.</w:t>
      </w:r>
      <w:r w:rsidRPr="005661DE">
        <w:rPr>
          <w:rFonts w:hint="eastAsia"/>
        </w:rPr>
        <w:t>试点阶段检察机关的量刑建议权</w:t>
      </w:r>
    </w:p>
    <w:p w14:paraId="750D0476" w14:textId="77777777" w:rsidR="009E688C" w:rsidRPr="005661DE" w:rsidRDefault="009E688C" w:rsidP="008C2522">
      <w:pPr>
        <w:snapToGrid w:val="0"/>
        <w:spacing w:line="300" w:lineRule="auto"/>
      </w:pPr>
      <w:r w:rsidRPr="005661DE">
        <w:t>2014</w:t>
      </w:r>
      <w:r w:rsidRPr="005661DE">
        <w:rPr>
          <w:rFonts w:hint="eastAsia"/>
        </w:rPr>
        <w:t>年</w:t>
      </w:r>
      <w:r w:rsidRPr="005661DE">
        <w:t>10</w:t>
      </w:r>
      <w:r w:rsidRPr="005661DE">
        <w:rPr>
          <w:rFonts w:hint="eastAsia"/>
        </w:rPr>
        <w:t>月</w:t>
      </w:r>
      <w:r w:rsidRPr="005661DE">
        <w:t>23</w:t>
      </w:r>
      <w:r w:rsidRPr="005661DE">
        <w:rPr>
          <w:rFonts w:hint="eastAsia"/>
        </w:rPr>
        <w:t>日，</w:t>
      </w:r>
      <w:r w:rsidR="002C1610">
        <w:rPr>
          <w:rFonts w:hint="eastAsia"/>
        </w:rPr>
        <w:t>在</w:t>
      </w:r>
      <w:r w:rsidR="00AC72CE" w:rsidRPr="005661DE">
        <w:rPr>
          <w:rFonts w:hint="eastAsia"/>
        </w:rPr>
        <w:t>《中共中央关于全面推进依法治国若干重大问题的决定》</w:t>
      </w:r>
      <w:r w:rsidR="007A3E53" w:rsidRPr="005661DE">
        <w:rPr>
          <w:rFonts w:hint="eastAsia"/>
        </w:rPr>
        <w:t>中</w:t>
      </w:r>
      <w:r w:rsidR="00AC72CE" w:rsidRPr="005661DE">
        <w:rPr>
          <w:rFonts w:hint="eastAsia"/>
        </w:rPr>
        <w:t>首次</w:t>
      </w:r>
      <w:r w:rsidR="007A3E53" w:rsidRPr="005661DE">
        <w:rPr>
          <w:rFonts w:hint="eastAsia"/>
        </w:rPr>
        <w:t>提出</w:t>
      </w:r>
      <w:r w:rsidRPr="005661DE">
        <w:rPr>
          <w:rFonts w:hint="eastAsia"/>
        </w:rPr>
        <w:t>“完善刑事诉讼中认罪认罚从宽制度”</w:t>
      </w:r>
      <w:r w:rsidR="007A3E53" w:rsidRPr="005661DE">
        <w:rPr>
          <w:rFonts w:hint="eastAsia"/>
        </w:rPr>
        <w:t>的设想</w:t>
      </w:r>
      <w:r w:rsidRPr="005661DE">
        <w:rPr>
          <w:rFonts w:hint="eastAsia"/>
        </w:rPr>
        <w:t>。随后，</w:t>
      </w:r>
      <w:r w:rsidRPr="005661DE">
        <w:t>2016</w:t>
      </w:r>
      <w:r w:rsidRPr="005661DE">
        <w:rPr>
          <w:rFonts w:hint="eastAsia"/>
        </w:rPr>
        <w:t>年</w:t>
      </w:r>
      <w:r w:rsidRPr="005661DE">
        <w:t>9</w:t>
      </w:r>
      <w:r w:rsidRPr="005661DE">
        <w:rPr>
          <w:rFonts w:hint="eastAsia"/>
        </w:rPr>
        <w:t>月</w:t>
      </w:r>
      <w:r w:rsidRPr="005661DE">
        <w:t>3</w:t>
      </w:r>
      <w:r w:rsidRPr="005661DE">
        <w:rPr>
          <w:rFonts w:hint="eastAsia"/>
        </w:rPr>
        <w:t>日，</w:t>
      </w:r>
      <w:r w:rsidR="007A3E53" w:rsidRPr="005661DE">
        <w:rPr>
          <w:rFonts w:hint="eastAsia"/>
        </w:rPr>
        <w:t>在</w:t>
      </w:r>
      <w:r w:rsidRPr="005661DE">
        <w:rPr>
          <w:rFonts w:hint="eastAsia"/>
        </w:rPr>
        <w:t>第十二届全国人民代表大会常务委员会第二十二次会议</w:t>
      </w:r>
      <w:r w:rsidR="007A3E53" w:rsidRPr="005661DE">
        <w:rPr>
          <w:rFonts w:hint="eastAsia"/>
        </w:rPr>
        <w:t>上</w:t>
      </w:r>
      <w:r w:rsidRPr="005661DE">
        <w:rPr>
          <w:rFonts w:hint="eastAsia"/>
        </w:rPr>
        <w:t>通过</w:t>
      </w:r>
      <w:r w:rsidR="007A3E53" w:rsidRPr="005661DE">
        <w:rPr>
          <w:rFonts w:hint="eastAsia"/>
        </w:rPr>
        <w:t>了</w:t>
      </w:r>
      <w:r w:rsidRPr="005661DE">
        <w:rPr>
          <w:rFonts w:hint="eastAsia"/>
        </w:rPr>
        <w:t>《关于授权最高人民法院、最高人民检察院在部分地区开展刑事案件认罪认罚从宽制度试点工作的决定》。</w:t>
      </w:r>
      <w:r w:rsidRPr="005661DE">
        <w:t>2016</w:t>
      </w:r>
      <w:r w:rsidRPr="005661DE">
        <w:rPr>
          <w:rFonts w:hint="eastAsia"/>
        </w:rPr>
        <w:t>年</w:t>
      </w:r>
      <w:r w:rsidRPr="005661DE">
        <w:t>11</w:t>
      </w:r>
      <w:r w:rsidRPr="005661DE">
        <w:rPr>
          <w:rFonts w:hint="eastAsia"/>
        </w:rPr>
        <w:t>月，“两高三部”联合出台的《关于在部分地区开展刑事案件认罪认罚从宽制度试点工作的办法》（下</w:t>
      </w:r>
      <w:r w:rsidRPr="005661DE">
        <w:rPr>
          <w:rFonts w:hint="eastAsia"/>
        </w:rPr>
        <w:lastRenderedPageBreak/>
        <w:t>称《试点办法》）中明确，将被追诉人同意量刑建议作为对其认罪认罚从宽处罚的必要条件，体现量刑建议在认罪认罚从宽制度运行中的约束力。</w:t>
      </w:r>
    </w:p>
    <w:p w14:paraId="0F710A6C" w14:textId="77777777" w:rsidR="009E688C" w:rsidRPr="005661DE" w:rsidRDefault="009E688C" w:rsidP="008C2522">
      <w:pPr>
        <w:snapToGrid w:val="0"/>
        <w:spacing w:line="300" w:lineRule="auto"/>
      </w:pPr>
      <w:r w:rsidRPr="005661DE">
        <w:rPr>
          <w:rFonts w:hint="eastAsia"/>
        </w:rPr>
        <w:t>《关于在部分地区开展刑事案件认罪认罚从宽</w:t>
      </w:r>
      <w:r w:rsidR="0026091F" w:rsidRPr="005661DE">
        <w:rPr>
          <w:rFonts w:hint="eastAsia"/>
        </w:rPr>
        <w:t>制度</w:t>
      </w:r>
      <w:r w:rsidRPr="005661DE">
        <w:rPr>
          <w:rFonts w:hint="eastAsia"/>
        </w:rPr>
        <w:t>试点工作情况的中期报告》（以下简称《认罪认罚中期报告》）显示，“</w:t>
      </w:r>
      <w:r w:rsidR="003C7600" w:rsidRPr="00F4375E">
        <w:t>2017</w:t>
      </w:r>
      <w:r w:rsidR="003C7600" w:rsidRPr="00F4375E">
        <w:rPr>
          <w:rFonts w:cs="宋体" w:hint="eastAsia"/>
        </w:rPr>
        <w:t>年</w:t>
      </w:r>
      <w:r w:rsidR="003C7600" w:rsidRPr="00F4375E">
        <w:t>11</w:t>
      </w:r>
      <w:r w:rsidR="003C7600" w:rsidRPr="00F4375E">
        <w:rPr>
          <w:rFonts w:cs="宋体" w:hint="eastAsia"/>
        </w:rPr>
        <w:t>月底，</w:t>
      </w:r>
      <w:r w:rsidR="003C7600" w:rsidRPr="00F4375E">
        <w:t>18</w:t>
      </w:r>
      <w:r w:rsidR="003C7600" w:rsidRPr="00F4375E">
        <w:rPr>
          <w:rFonts w:cs="宋体" w:hint="eastAsia"/>
        </w:rPr>
        <w:t>个试点地区共确定试点法院、检察院各</w:t>
      </w:r>
      <w:r w:rsidR="003C7600" w:rsidRPr="00F4375E">
        <w:t>281</w:t>
      </w:r>
      <w:r w:rsidR="003C7600" w:rsidRPr="00F4375E">
        <w:rPr>
          <w:rFonts w:cs="宋体" w:hint="eastAsia"/>
        </w:rPr>
        <w:t>个，适用认罪认罚审结的刑事案件共</w:t>
      </w:r>
      <w:r w:rsidR="003C7600" w:rsidRPr="00F4375E">
        <w:t>91121</w:t>
      </w:r>
      <w:r w:rsidR="003C7600">
        <w:rPr>
          <w:rFonts w:cs="宋体" w:hint="eastAsia"/>
        </w:rPr>
        <w:t>件，占</w:t>
      </w:r>
      <w:r w:rsidR="003C7600" w:rsidRPr="00F4375E">
        <w:rPr>
          <w:rFonts w:cs="宋体" w:hint="eastAsia"/>
        </w:rPr>
        <w:t>同期审结刑案的</w:t>
      </w:r>
      <w:r w:rsidR="003C7600" w:rsidRPr="00F4375E">
        <w:t>45%</w:t>
      </w:r>
      <w:r w:rsidR="003C7600" w:rsidRPr="00F4375E">
        <w:rPr>
          <w:rFonts w:cs="宋体" w:hint="eastAsia"/>
        </w:rPr>
        <w:t>。</w:t>
      </w:r>
      <w:r w:rsidRPr="005661DE">
        <w:rPr>
          <w:rFonts w:hint="eastAsia"/>
        </w:rPr>
        <w:t>其中通过检察院建议适用的达</w:t>
      </w:r>
      <w:r w:rsidRPr="005661DE">
        <w:t>98. 4%</w:t>
      </w:r>
      <w:r w:rsidRPr="005661DE">
        <w:rPr>
          <w:rFonts w:hint="eastAsia"/>
        </w:rPr>
        <w:t>，量刑建议的采纳率为</w:t>
      </w:r>
      <w:r w:rsidRPr="005661DE">
        <w:t>92. 1%</w:t>
      </w:r>
      <w:r w:rsidRPr="005661DE">
        <w:rPr>
          <w:rFonts w:hint="eastAsia"/>
        </w:rPr>
        <w:t>。”</w:t>
      </w:r>
      <w:r w:rsidRPr="006146D6">
        <w:rPr>
          <w:vertAlign w:val="superscript"/>
        </w:rPr>
        <w:footnoteReference w:id="5"/>
      </w:r>
      <w:r w:rsidRPr="005661DE">
        <w:rPr>
          <w:rFonts w:hint="eastAsia"/>
        </w:rPr>
        <w:t>从各试点看，“广州、深圳两级检察院、法院截至</w:t>
      </w:r>
      <w:r w:rsidRPr="005661DE">
        <w:t>2017</w:t>
      </w:r>
      <w:r w:rsidRPr="005661DE">
        <w:rPr>
          <w:rFonts w:hint="eastAsia"/>
        </w:rPr>
        <w:t>年</w:t>
      </w:r>
      <w:r w:rsidRPr="005661DE">
        <w:t>12</w:t>
      </w:r>
      <w:r w:rsidRPr="005661DE">
        <w:rPr>
          <w:rFonts w:hint="eastAsia"/>
        </w:rPr>
        <w:t>月共适用认罪认罚从宽制度处理案件</w:t>
      </w:r>
      <w:r w:rsidRPr="005661DE">
        <w:t>18354</w:t>
      </w:r>
      <w:r w:rsidRPr="005661DE">
        <w:rPr>
          <w:rFonts w:hint="eastAsia"/>
        </w:rPr>
        <w:t>件</w:t>
      </w:r>
      <w:r w:rsidRPr="005661DE">
        <w:t>20465</w:t>
      </w:r>
      <w:r w:rsidRPr="005661DE">
        <w:rPr>
          <w:rFonts w:hint="eastAsia"/>
        </w:rPr>
        <w:t>人。其中，提起公诉</w:t>
      </w:r>
      <w:r w:rsidRPr="005661DE">
        <w:t>17280</w:t>
      </w:r>
      <w:r w:rsidRPr="005661DE">
        <w:rPr>
          <w:rFonts w:hint="eastAsia"/>
        </w:rPr>
        <w:t>件</w:t>
      </w:r>
      <w:r w:rsidRPr="005661DE">
        <w:t>19222</w:t>
      </w:r>
      <w:r w:rsidRPr="005661DE">
        <w:rPr>
          <w:rFonts w:hint="eastAsia"/>
        </w:rPr>
        <w:t>人，法院采纳量刑建议</w:t>
      </w:r>
      <w:r w:rsidRPr="005661DE">
        <w:t>13680</w:t>
      </w:r>
      <w:r w:rsidRPr="005661DE">
        <w:rPr>
          <w:rFonts w:hint="eastAsia"/>
        </w:rPr>
        <w:t>人，量刑建议采纳率为</w:t>
      </w:r>
      <w:r w:rsidRPr="005661DE">
        <w:t>94.46%</w:t>
      </w:r>
      <w:r w:rsidRPr="005661DE">
        <w:rPr>
          <w:rFonts w:hint="eastAsia"/>
        </w:rPr>
        <w:t>。”</w:t>
      </w:r>
      <w:r w:rsidRPr="006146D6">
        <w:rPr>
          <w:vertAlign w:val="superscript"/>
        </w:rPr>
        <w:footnoteReference w:id="6"/>
      </w:r>
      <w:r w:rsidRPr="005661DE">
        <w:rPr>
          <w:rFonts w:hint="eastAsia"/>
        </w:rPr>
        <w:t>“</w:t>
      </w:r>
      <w:r w:rsidR="00E212BA" w:rsidRPr="005661DE">
        <w:rPr>
          <w:rFonts w:hint="eastAsia"/>
        </w:rPr>
        <w:t xml:space="preserve"> </w:t>
      </w:r>
      <w:r w:rsidR="00E212BA" w:rsidRPr="005661DE">
        <w:rPr>
          <w:rFonts w:hint="eastAsia"/>
        </w:rPr>
        <w:t>福州、厦门两市检察机关</w:t>
      </w:r>
      <w:r w:rsidRPr="005661DE">
        <w:rPr>
          <w:rFonts w:hint="eastAsia"/>
        </w:rPr>
        <w:t>从</w:t>
      </w:r>
      <w:r w:rsidRPr="005661DE">
        <w:t>2016</w:t>
      </w:r>
      <w:r w:rsidRPr="005661DE">
        <w:rPr>
          <w:rFonts w:hint="eastAsia"/>
        </w:rPr>
        <w:t>年</w:t>
      </w:r>
      <w:r w:rsidRPr="005661DE">
        <w:t>11</w:t>
      </w:r>
      <w:r w:rsidR="00E212BA" w:rsidRPr="005661DE">
        <w:rPr>
          <w:rFonts w:hint="eastAsia"/>
        </w:rPr>
        <w:t>月</w:t>
      </w:r>
      <w:r w:rsidRPr="005661DE">
        <w:rPr>
          <w:rFonts w:hint="eastAsia"/>
        </w:rPr>
        <w:t>至</w:t>
      </w:r>
      <w:r w:rsidRPr="005661DE">
        <w:t>2018</w:t>
      </w:r>
      <w:r w:rsidRPr="005661DE">
        <w:rPr>
          <w:rFonts w:hint="eastAsia"/>
        </w:rPr>
        <w:t>年</w:t>
      </w:r>
      <w:r w:rsidRPr="005661DE">
        <w:t>5</w:t>
      </w:r>
      <w:r w:rsidR="00E212BA" w:rsidRPr="005661DE">
        <w:rPr>
          <w:rFonts w:hint="eastAsia"/>
        </w:rPr>
        <w:t>月，共</w:t>
      </w:r>
      <w:r w:rsidRPr="005661DE">
        <w:rPr>
          <w:rFonts w:hint="eastAsia"/>
        </w:rPr>
        <w:t>办理认罪认罚从宽案件</w:t>
      </w:r>
      <w:r w:rsidRPr="005661DE">
        <w:t>11670</w:t>
      </w:r>
      <w:r w:rsidRPr="005661DE">
        <w:rPr>
          <w:rFonts w:hint="eastAsia"/>
        </w:rPr>
        <w:t>件</w:t>
      </w:r>
      <w:r w:rsidRPr="005661DE">
        <w:t>13812</w:t>
      </w:r>
      <w:r w:rsidRPr="005661DE">
        <w:rPr>
          <w:rFonts w:hint="eastAsia"/>
        </w:rPr>
        <w:t>人，确定量刑建议适用率约</w:t>
      </w:r>
      <w:r w:rsidRPr="005661DE">
        <w:t>40.21%</w:t>
      </w:r>
      <w:r w:rsidRPr="005661DE">
        <w:rPr>
          <w:rFonts w:hint="eastAsia"/>
        </w:rPr>
        <w:t>，采纳率约</w:t>
      </w:r>
      <w:r w:rsidRPr="005661DE">
        <w:t>73.7%</w:t>
      </w:r>
      <w:r w:rsidRPr="005661DE">
        <w:rPr>
          <w:rFonts w:hint="eastAsia"/>
        </w:rPr>
        <w:t>。”</w:t>
      </w:r>
      <w:r w:rsidRPr="006146D6">
        <w:rPr>
          <w:vertAlign w:val="superscript"/>
        </w:rPr>
        <w:footnoteReference w:id="7"/>
      </w:r>
    </w:p>
    <w:p w14:paraId="7EA985E8" w14:textId="77777777" w:rsidR="009E688C" w:rsidRPr="005661DE" w:rsidRDefault="009E688C" w:rsidP="008C2522">
      <w:pPr>
        <w:pStyle w:val="3"/>
        <w:snapToGrid w:val="0"/>
      </w:pPr>
      <w:r w:rsidRPr="005661DE">
        <w:t>2.</w:t>
      </w:r>
      <w:r w:rsidRPr="005661DE">
        <w:rPr>
          <w:rFonts w:hint="eastAsia"/>
        </w:rPr>
        <w:t>《刑事诉讼法》修改后检察机关的量刑建议权</w:t>
      </w:r>
    </w:p>
    <w:p w14:paraId="488309B8" w14:textId="77777777" w:rsidR="009E688C" w:rsidRDefault="00884A02" w:rsidP="008C2522">
      <w:pPr>
        <w:snapToGrid w:val="0"/>
        <w:spacing w:line="300" w:lineRule="auto"/>
      </w:pPr>
      <w:r w:rsidRPr="005661DE">
        <w:rPr>
          <w:rFonts w:hint="eastAsia"/>
        </w:rPr>
        <w:t>试</w:t>
      </w:r>
      <w:r w:rsidR="009E688C" w:rsidRPr="005661DE">
        <w:rPr>
          <w:rFonts w:hint="eastAsia"/>
        </w:rPr>
        <w:t>点工作结束后，在充分吸收试点经验的基础上，将可推广、可复制的部分上升为法律规定。</w:t>
      </w:r>
      <w:r w:rsidR="009E688C" w:rsidRPr="005661DE">
        <w:t>2018</w:t>
      </w:r>
      <w:r w:rsidR="009E688C" w:rsidRPr="005661DE">
        <w:rPr>
          <w:rFonts w:hint="eastAsia"/>
        </w:rPr>
        <w:t>年</w:t>
      </w:r>
      <w:r w:rsidRPr="005661DE">
        <w:rPr>
          <w:rFonts w:hint="eastAsia"/>
        </w:rPr>
        <w:t>《</w:t>
      </w:r>
      <w:r w:rsidR="009E688C" w:rsidRPr="005661DE">
        <w:rPr>
          <w:rFonts w:hint="eastAsia"/>
        </w:rPr>
        <w:t>刑事诉讼法》修改，吸收了先前《试点办法》的主要内容，并将试点中证明行之有效的规定在国家基本法中予以确认。修改后的《刑事诉讼法》</w:t>
      </w:r>
      <w:r w:rsidR="003A6AB6" w:rsidRPr="005661DE">
        <w:rPr>
          <w:rFonts w:hint="eastAsia"/>
        </w:rPr>
        <w:t>176</w:t>
      </w:r>
      <w:r w:rsidR="003A6AB6" w:rsidRPr="005661DE">
        <w:rPr>
          <w:rFonts w:hint="eastAsia"/>
        </w:rPr>
        <w:t>条</w:t>
      </w:r>
      <w:r w:rsidR="009E688C" w:rsidRPr="005661DE">
        <w:rPr>
          <w:rFonts w:hint="eastAsia"/>
        </w:rPr>
        <w:t>首次将量刑建议</w:t>
      </w:r>
      <w:r w:rsidR="008204F3" w:rsidRPr="005661DE">
        <w:rPr>
          <w:rFonts w:hint="eastAsia"/>
        </w:rPr>
        <w:t>写入法典，明确了</w:t>
      </w:r>
      <w:r w:rsidR="009E688C" w:rsidRPr="005661DE">
        <w:rPr>
          <w:rFonts w:hint="eastAsia"/>
        </w:rPr>
        <w:t>提出量刑建议是适用认罪认罚从宽制度的重要组成部分</w:t>
      </w:r>
      <w:r w:rsidR="00431A2F" w:rsidRPr="005661DE">
        <w:rPr>
          <w:rFonts w:hint="eastAsia"/>
        </w:rPr>
        <w:t>，并对量刑建议的内容及程序作出了相应的</w:t>
      </w:r>
      <w:r w:rsidR="008204F3" w:rsidRPr="005661DE">
        <w:rPr>
          <w:rFonts w:hint="eastAsia"/>
        </w:rPr>
        <w:t>规定</w:t>
      </w:r>
      <w:r w:rsidR="009E688C" w:rsidRPr="005661DE">
        <w:rPr>
          <w:rFonts w:hint="eastAsia"/>
        </w:rPr>
        <w:t>。</w:t>
      </w:r>
      <w:r w:rsidR="009E688C" w:rsidRPr="005661DE">
        <w:t>2019</w:t>
      </w:r>
      <w:r w:rsidR="009E688C" w:rsidRPr="005661DE">
        <w:rPr>
          <w:rFonts w:hint="eastAsia"/>
        </w:rPr>
        <w:t>年</w:t>
      </w:r>
      <w:r w:rsidR="009E688C" w:rsidRPr="005661DE">
        <w:t>10</w:t>
      </w:r>
      <w:r w:rsidR="009E688C" w:rsidRPr="005661DE">
        <w:rPr>
          <w:rFonts w:hint="eastAsia"/>
        </w:rPr>
        <w:t>月</w:t>
      </w:r>
      <w:r w:rsidR="009E688C" w:rsidRPr="005661DE">
        <w:t>24</w:t>
      </w:r>
      <w:r w:rsidR="009E688C" w:rsidRPr="005661DE">
        <w:rPr>
          <w:rFonts w:hint="eastAsia"/>
        </w:rPr>
        <w:t>日，最高人民法院</w:t>
      </w:r>
      <w:r w:rsidR="009E688C" w:rsidRPr="005661DE">
        <w:t> </w:t>
      </w:r>
      <w:r w:rsidR="009E688C" w:rsidRPr="005661DE">
        <w:rPr>
          <w:rFonts w:hint="eastAsia"/>
        </w:rPr>
        <w:t>、最高人民检察院、公安部</w:t>
      </w:r>
      <w:r w:rsidR="009E688C" w:rsidRPr="005661DE">
        <w:t> </w:t>
      </w:r>
      <w:r w:rsidR="009E688C" w:rsidRPr="005661DE">
        <w:rPr>
          <w:rFonts w:hint="eastAsia"/>
        </w:rPr>
        <w:t>、国家安全部</w:t>
      </w:r>
      <w:r w:rsidR="009E688C" w:rsidRPr="005661DE">
        <w:t> </w:t>
      </w:r>
      <w:r w:rsidR="00BD2E49" w:rsidRPr="005661DE">
        <w:rPr>
          <w:rFonts w:hint="eastAsia"/>
        </w:rPr>
        <w:t>、司法部</w:t>
      </w:r>
      <w:r w:rsidR="00607850" w:rsidRPr="005661DE">
        <w:rPr>
          <w:rFonts w:hint="eastAsia"/>
        </w:rPr>
        <w:t>共同</w:t>
      </w:r>
      <w:r w:rsidR="00BD2E49" w:rsidRPr="005661DE">
        <w:rPr>
          <w:rFonts w:hint="eastAsia"/>
        </w:rPr>
        <w:t>颁布《关于适用认罪认罚从宽制度的指导意见》（下称</w:t>
      </w:r>
      <w:r w:rsidR="009E688C" w:rsidRPr="005661DE">
        <w:rPr>
          <w:rFonts w:hint="eastAsia"/>
        </w:rPr>
        <w:t>《指导意见》），</w:t>
      </w:r>
      <w:r w:rsidR="003641A2">
        <w:rPr>
          <w:rFonts w:hint="eastAsia"/>
        </w:rPr>
        <w:t>及同年</w:t>
      </w:r>
      <w:r w:rsidR="009E688C" w:rsidRPr="005661DE">
        <w:t>12</w:t>
      </w:r>
      <w:r w:rsidR="009E688C" w:rsidRPr="005661DE">
        <w:rPr>
          <w:rFonts w:hint="eastAsia"/>
        </w:rPr>
        <w:t>月</w:t>
      </w:r>
      <w:r w:rsidR="009E688C" w:rsidRPr="005661DE">
        <w:t>30</w:t>
      </w:r>
      <w:r w:rsidR="003641A2">
        <w:rPr>
          <w:rFonts w:hint="eastAsia"/>
        </w:rPr>
        <w:t>日</w:t>
      </w:r>
      <w:r w:rsidR="009E688C" w:rsidRPr="005661DE">
        <w:rPr>
          <w:rFonts w:hint="eastAsia"/>
        </w:rPr>
        <w:t>最高人民检察院颁布的</w:t>
      </w:r>
      <w:r w:rsidR="00BD2E49" w:rsidRPr="005661DE">
        <w:rPr>
          <w:rFonts w:hint="eastAsia"/>
        </w:rPr>
        <w:t>《人民检察院刑事诉讼规则》（下称</w:t>
      </w:r>
      <w:r w:rsidR="009E688C" w:rsidRPr="005661DE">
        <w:rPr>
          <w:rFonts w:hint="eastAsia"/>
        </w:rPr>
        <w:t>《刑事诉讼规则》）又对检察机关量刑建议权作出了更加具体规定，从而使检察机关的量刑建议权成为认罪认罚从宽制度中的一项重要权能被正式地纳入到了刑事诉讼程序之中。</w:t>
      </w:r>
    </w:p>
    <w:p w14:paraId="4F7FE77B" w14:textId="77777777" w:rsidR="00B6208F" w:rsidRDefault="00B6208F" w:rsidP="008C2522">
      <w:pPr>
        <w:snapToGrid w:val="0"/>
        <w:spacing w:line="300" w:lineRule="auto"/>
      </w:pPr>
    </w:p>
    <w:p w14:paraId="78E03F95" w14:textId="77777777" w:rsidR="00B6208F" w:rsidRDefault="00B6208F" w:rsidP="008C2522">
      <w:pPr>
        <w:snapToGrid w:val="0"/>
        <w:spacing w:line="300" w:lineRule="auto"/>
      </w:pPr>
    </w:p>
    <w:p w14:paraId="4DF43888" w14:textId="77777777" w:rsidR="00B6208F" w:rsidRDefault="00B6208F" w:rsidP="008C2522">
      <w:pPr>
        <w:snapToGrid w:val="0"/>
        <w:spacing w:line="300" w:lineRule="auto"/>
      </w:pPr>
    </w:p>
    <w:p w14:paraId="2D29878F" w14:textId="77777777" w:rsidR="00B6208F" w:rsidRDefault="00B6208F" w:rsidP="008C2522">
      <w:pPr>
        <w:snapToGrid w:val="0"/>
        <w:spacing w:line="300" w:lineRule="auto"/>
      </w:pPr>
    </w:p>
    <w:p w14:paraId="2D423DBC" w14:textId="77777777" w:rsidR="00B6208F" w:rsidRDefault="00B6208F" w:rsidP="008C2522">
      <w:pPr>
        <w:snapToGrid w:val="0"/>
        <w:spacing w:line="300" w:lineRule="auto"/>
      </w:pPr>
    </w:p>
    <w:p w14:paraId="61472565" w14:textId="77777777" w:rsidR="00B6208F" w:rsidRDefault="00B6208F" w:rsidP="008C2522">
      <w:pPr>
        <w:snapToGrid w:val="0"/>
        <w:spacing w:line="300" w:lineRule="auto"/>
      </w:pPr>
    </w:p>
    <w:p w14:paraId="01727434" w14:textId="77777777" w:rsidR="00B6208F" w:rsidRDefault="00B6208F" w:rsidP="008C2522">
      <w:pPr>
        <w:snapToGrid w:val="0"/>
        <w:spacing w:line="300" w:lineRule="auto"/>
      </w:pPr>
    </w:p>
    <w:p w14:paraId="1EE0A092" w14:textId="77777777" w:rsidR="00B6208F" w:rsidRDefault="00B6208F" w:rsidP="008C2522">
      <w:pPr>
        <w:snapToGrid w:val="0"/>
        <w:spacing w:line="300" w:lineRule="auto"/>
      </w:pPr>
    </w:p>
    <w:p w14:paraId="2A7CC4ED" w14:textId="77777777" w:rsidR="00B6208F" w:rsidRDefault="00B6208F" w:rsidP="008C2522">
      <w:pPr>
        <w:snapToGrid w:val="0"/>
        <w:spacing w:line="300" w:lineRule="auto"/>
      </w:pPr>
    </w:p>
    <w:p w14:paraId="0F9B8CCF" w14:textId="77777777" w:rsidR="00B6208F" w:rsidRDefault="00B6208F" w:rsidP="008C2522">
      <w:pPr>
        <w:snapToGrid w:val="0"/>
        <w:spacing w:line="300" w:lineRule="auto"/>
      </w:pPr>
    </w:p>
    <w:p w14:paraId="5D758EB7" w14:textId="77777777" w:rsidR="00B6208F" w:rsidRDefault="00B6208F" w:rsidP="008C2522">
      <w:pPr>
        <w:snapToGrid w:val="0"/>
        <w:spacing w:line="300" w:lineRule="auto"/>
      </w:pPr>
    </w:p>
    <w:p w14:paraId="01F0FCCE" w14:textId="77777777" w:rsidR="00B6208F" w:rsidRDefault="00B6208F" w:rsidP="008C2522">
      <w:pPr>
        <w:snapToGrid w:val="0"/>
        <w:spacing w:line="300" w:lineRule="auto"/>
      </w:pPr>
    </w:p>
    <w:p w14:paraId="151F1F70" w14:textId="77777777" w:rsidR="00B6208F" w:rsidRDefault="00B6208F" w:rsidP="008C2522">
      <w:pPr>
        <w:snapToGrid w:val="0"/>
        <w:spacing w:line="300" w:lineRule="auto"/>
      </w:pPr>
    </w:p>
    <w:p w14:paraId="6605D2CB" w14:textId="77777777" w:rsidR="00B6208F" w:rsidRDefault="00B6208F" w:rsidP="008C2522">
      <w:pPr>
        <w:snapToGrid w:val="0"/>
        <w:spacing w:line="300" w:lineRule="auto"/>
      </w:pPr>
    </w:p>
    <w:p w14:paraId="0874B50E" w14:textId="77777777" w:rsidR="00B6208F" w:rsidRPr="00B6208F" w:rsidRDefault="00B6208F" w:rsidP="008C2522">
      <w:pPr>
        <w:snapToGrid w:val="0"/>
        <w:spacing w:line="300" w:lineRule="auto"/>
      </w:pPr>
    </w:p>
    <w:p w14:paraId="6618BC2C" w14:textId="77777777" w:rsidR="009E688C" w:rsidRPr="005661DE" w:rsidRDefault="009E688C" w:rsidP="008C2522">
      <w:pPr>
        <w:snapToGrid w:val="0"/>
        <w:spacing w:line="300" w:lineRule="auto"/>
      </w:pPr>
    </w:p>
    <w:p w14:paraId="5DF7C624" w14:textId="77777777" w:rsidR="009E688C" w:rsidRPr="005661DE" w:rsidRDefault="009E688C" w:rsidP="008C2522">
      <w:pPr>
        <w:pStyle w:val="1"/>
        <w:snapToGrid w:val="0"/>
      </w:pPr>
      <w:bookmarkStart w:id="14" w:name="_Toc36842043"/>
      <w:bookmarkStart w:id="15" w:name="_Toc36844715"/>
      <w:r w:rsidRPr="005661DE">
        <w:rPr>
          <w:rFonts w:hint="eastAsia"/>
        </w:rPr>
        <w:lastRenderedPageBreak/>
        <w:t>二、认罪认罚从宽视野下量刑建议权的性质</w:t>
      </w:r>
      <w:bookmarkEnd w:id="14"/>
      <w:bookmarkEnd w:id="15"/>
    </w:p>
    <w:p w14:paraId="05792AF9" w14:textId="77777777" w:rsidR="009E688C" w:rsidRPr="005661DE" w:rsidRDefault="009E688C" w:rsidP="008C2522">
      <w:pPr>
        <w:snapToGrid w:val="0"/>
        <w:spacing w:line="300" w:lineRule="auto"/>
      </w:pPr>
    </w:p>
    <w:p w14:paraId="14724869" w14:textId="77777777" w:rsidR="009E688C" w:rsidRPr="005661DE" w:rsidRDefault="009E688C" w:rsidP="008C2522">
      <w:pPr>
        <w:snapToGrid w:val="0"/>
        <w:spacing w:line="300" w:lineRule="auto"/>
      </w:pPr>
      <w:r w:rsidRPr="005661DE">
        <w:rPr>
          <w:rFonts w:hint="eastAsia"/>
        </w:rPr>
        <w:t>认罪认罚从宽制度是“坦白从宽”和“宽严相济”刑事政策的发展，是具有中国特色的刑事法律制度。它与国外的“辩诉交易”存在着相同点，但也在证明标准、证据审查等方面存在本质的差别。认罪认罚从宽制度下的“认罪”，意味着犯罪嫌疑人对检察机关指控的犯罪事实的承认，但不当然包含对指控中的罪名的认同，因为罪名的判定属于法律适用的问题，如犯罪嫌疑人不认同指控的罪名但供认了犯罪事实，仍属于“认罪”。而“认罚”则是指对检察机关提出量刑建议予以认可。所谓“认罪认罚”，也就是犯罪嫌疑人自愿认罪，同意检察官提出的量刑建议和接受诉讼程序的适用。认罪认罚从宽制度中的“从宽”包含实体量刑从宽和程序适用从宽两个方面：实体上，</w:t>
      </w:r>
      <w:r w:rsidR="006D7EAE" w:rsidRPr="005661DE">
        <w:rPr>
          <w:rFonts w:hint="eastAsia"/>
        </w:rPr>
        <w:t>在主刑、附加刑以及是否适用缓刑的</w:t>
      </w:r>
      <w:r w:rsidR="00032A3D" w:rsidRPr="005661DE">
        <w:rPr>
          <w:rFonts w:hint="eastAsia"/>
        </w:rPr>
        <w:t>量刑</w:t>
      </w:r>
      <w:r w:rsidR="006D7EAE" w:rsidRPr="005661DE">
        <w:rPr>
          <w:rFonts w:hint="eastAsia"/>
        </w:rPr>
        <w:t>问题上</w:t>
      </w:r>
      <w:r w:rsidR="00675113" w:rsidRPr="005661DE">
        <w:rPr>
          <w:rFonts w:hint="eastAsia"/>
        </w:rPr>
        <w:t>对</w:t>
      </w:r>
      <w:r w:rsidRPr="005661DE">
        <w:rPr>
          <w:rFonts w:hint="eastAsia"/>
        </w:rPr>
        <w:t>犯罪嫌疑人给予从宽处罚；程序上，犯罪嫌疑人通过同意适用简易、速裁程序避免长时间的诉讼过程和不确定因素的干扰从而获得快速审理的诉讼利益。</w:t>
      </w:r>
    </w:p>
    <w:p w14:paraId="7F508F3A" w14:textId="77777777" w:rsidR="009E688C" w:rsidRPr="005661DE" w:rsidRDefault="009E688C" w:rsidP="008C2522">
      <w:pPr>
        <w:snapToGrid w:val="0"/>
        <w:spacing w:line="300" w:lineRule="auto"/>
      </w:pPr>
      <w:r w:rsidRPr="005661DE">
        <w:rPr>
          <w:rFonts w:hint="eastAsia"/>
        </w:rPr>
        <w:t>面对认罪认罚制度的探索和设立，有必要进一步明确刑事诉讼活动中量刑建议制度的新变化及量刑建议在实践层面产生的全新需要。“对认罪认罚案件中量刑建议的性质和效力的把握，既要考量其与认罪认罚以外案件量刑建议的差别，也要准确界定与域外辩诉交易制度之间的界限。”</w:t>
      </w:r>
      <w:r w:rsidRPr="006146D6">
        <w:rPr>
          <w:vertAlign w:val="superscript"/>
        </w:rPr>
        <w:footnoteReference w:id="8"/>
      </w:r>
      <w:r w:rsidRPr="005661DE">
        <w:rPr>
          <w:rFonts w:hint="eastAsia"/>
        </w:rPr>
        <w:t>《指导意见》对认罪认罚从宽制度下的量刑建议的适用作出了初步的规定，《刑事诉讼规则》进一步对检察机关开展量刑建议的具体流程作出了规范。根据上述立法及司法解释的规定，认罪认罚从宽制度下的量刑建议权的性质可以从以下方面加以认识和界定：</w:t>
      </w:r>
    </w:p>
    <w:p w14:paraId="50938EEB" w14:textId="77777777" w:rsidR="009E688C" w:rsidRPr="005661DE" w:rsidRDefault="009E688C" w:rsidP="008C2522">
      <w:pPr>
        <w:pStyle w:val="2"/>
        <w:snapToGrid w:val="0"/>
      </w:pPr>
      <w:bookmarkStart w:id="16" w:name="_Toc36842044"/>
      <w:bookmarkStart w:id="17" w:name="_Toc36844716"/>
      <w:r w:rsidRPr="005661DE">
        <w:rPr>
          <w:rFonts w:hint="eastAsia"/>
        </w:rPr>
        <w:t>（一）建议前提的自愿性</w:t>
      </w:r>
      <w:bookmarkEnd w:id="16"/>
      <w:bookmarkEnd w:id="17"/>
    </w:p>
    <w:p w14:paraId="47DEA81C" w14:textId="77777777" w:rsidR="009E688C" w:rsidRPr="005661DE" w:rsidRDefault="005328F8" w:rsidP="008C2522">
      <w:pPr>
        <w:snapToGrid w:val="0"/>
        <w:spacing w:line="300" w:lineRule="auto"/>
      </w:pPr>
      <w:r w:rsidRPr="005661DE">
        <w:rPr>
          <w:rFonts w:hint="eastAsia"/>
        </w:rPr>
        <w:t>《刑事诉讼法》</w:t>
      </w:r>
      <w:r w:rsidR="000E5FCF">
        <w:rPr>
          <w:rFonts w:hint="eastAsia"/>
        </w:rPr>
        <w:t>第</w:t>
      </w:r>
      <w:r w:rsidR="000E5FCF">
        <w:rPr>
          <w:rFonts w:hint="eastAsia"/>
        </w:rPr>
        <w:t>15</w:t>
      </w:r>
      <w:r w:rsidR="000E5FCF">
        <w:rPr>
          <w:rFonts w:hint="eastAsia"/>
        </w:rPr>
        <w:t>条</w:t>
      </w:r>
      <w:r w:rsidRPr="005661DE">
        <w:rPr>
          <w:rFonts w:hint="eastAsia"/>
        </w:rPr>
        <w:t>规定，被告人自愿</w:t>
      </w:r>
      <w:r w:rsidR="000E5FCF">
        <w:rPr>
          <w:rFonts w:hint="eastAsia"/>
        </w:rPr>
        <w:t>认罪认罚的可以从宽处罚。</w:t>
      </w:r>
      <w:r w:rsidR="00B226DC">
        <w:rPr>
          <w:rFonts w:hint="eastAsia"/>
        </w:rPr>
        <w:t>被告人认罪认罚的自愿性是认罪认罚从宽制度构建的核心与前提。</w:t>
      </w:r>
      <w:r w:rsidR="009E688C" w:rsidRPr="005661DE">
        <w:rPr>
          <w:rFonts w:hint="eastAsia"/>
        </w:rPr>
        <w:t>同理自愿性也是认罪认罚从宽案件检察机关量刑建议的前提。</w:t>
      </w:r>
      <w:r w:rsidR="003B01E1" w:rsidRPr="005661DE">
        <w:rPr>
          <w:rFonts w:hint="eastAsia"/>
        </w:rPr>
        <w:t>所以，</w:t>
      </w:r>
      <w:r w:rsidR="009E688C" w:rsidRPr="005661DE">
        <w:rPr>
          <w:rFonts w:hint="eastAsia"/>
        </w:rPr>
        <w:t>保障犯罪嫌疑人、被告人</w:t>
      </w:r>
      <w:r w:rsidR="003B01E1" w:rsidRPr="005661DE">
        <w:rPr>
          <w:rFonts w:hint="eastAsia"/>
        </w:rPr>
        <w:t>认罪认罚的自愿性，</w:t>
      </w:r>
      <w:r w:rsidR="009E688C" w:rsidRPr="005661DE">
        <w:rPr>
          <w:rFonts w:hint="eastAsia"/>
        </w:rPr>
        <w:t>是认罪认罚从宽制度能否取得实效的关键。</w:t>
      </w:r>
      <w:r w:rsidR="009E688C" w:rsidRPr="006146D6">
        <w:rPr>
          <w:vertAlign w:val="superscript"/>
        </w:rPr>
        <w:footnoteReference w:id="9"/>
      </w:r>
      <w:r w:rsidR="009E688C" w:rsidRPr="005661DE">
        <w:rPr>
          <w:rFonts w:hint="eastAsia"/>
        </w:rPr>
        <w:t>“自愿”从文意上理解，是指主体在没有受到外界强迫、欺骗、威胁等情况下，基于自由的意志产生的语言表达或思维表现。认罪认罚从宽制度中的“自愿”</w:t>
      </w:r>
      <w:r w:rsidR="00DA702E" w:rsidRPr="005661DE">
        <w:rPr>
          <w:rFonts w:hint="eastAsia"/>
        </w:rPr>
        <w:t>也并非绝对的自愿，而是法律意义上的自愿。区别于其他的案件，认罪认罚从宽案件的量刑建议</w:t>
      </w:r>
      <w:r w:rsidR="002938F4" w:rsidRPr="005661DE">
        <w:rPr>
          <w:rFonts w:hint="eastAsia"/>
        </w:rPr>
        <w:t>是在被告人</w:t>
      </w:r>
      <w:r w:rsidR="00DA702E" w:rsidRPr="005661DE">
        <w:rPr>
          <w:rFonts w:hint="eastAsia"/>
        </w:rPr>
        <w:t>自愿</w:t>
      </w:r>
      <w:r w:rsidR="009E688C" w:rsidRPr="005661DE">
        <w:rPr>
          <w:rFonts w:hint="eastAsia"/>
        </w:rPr>
        <w:t>供述自己的罪行，承认</w:t>
      </w:r>
      <w:r w:rsidR="00DA702E" w:rsidRPr="005661DE">
        <w:rPr>
          <w:rFonts w:hint="eastAsia"/>
        </w:rPr>
        <w:t>检察机关</w:t>
      </w:r>
      <w:r w:rsidR="009E688C" w:rsidRPr="005661DE">
        <w:rPr>
          <w:rFonts w:hint="eastAsia"/>
        </w:rPr>
        <w:t>指</w:t>
      </w:r>
      <w:r w:rsidR="00DA702E" w:rsidRPr="005661DE">
        <w:rPr>
          <w:rFonts w:hint="eastAsia"/>
        </w:rPr>
        <w:t>控的犯罪并</w:t>
      </w:r>
      <w:r w:rsidR="002938F4" w:rsidRPr="005661DE">
        <w:rPr>
          <w:rFonts w:hint="eastAsia"/>
        </w:rPr>
        <w:t>愿意接受刑</w:t>
      </w:r>
      <w:r w:rsidR="009E688C" w:rsidRPr="005661DE">
        <w:rPr>
          <w:rFonts w:hint="eastAsia"/>
        </w:rPr>
        <w:t>罚</w:t>
      </w:r>
      <w:r w:rsidR="002938F4" w:rsidRPr="005661DE">
        <w:rPr>
          <w:rFonts w:hint="eastAsia"/>
        </w:rPr>
        <w:t>的前提下展开的。被告人</w:t>
      </w:r>
      <w:r w:rsidR="00E21225" w:rsidRPr="005661DE">
        <w:rPr>
          <w:rFonts w:hint="eastAsia"/>
        </w:rPr>
        <w:t>选择</w:t>
      </w:r>
      <w:r w:rsidR="002938F4" w:rsidRPr="005661DE">
        <w:rPr>
          <w:rFonts w:hint="eastAsia"/>
        </w:rPr>
        <w:t>认罪认罚的自愿性，是检察机关行使</w:t>
      </w:r>
      <w:r w:rsidR="009E688C" w:rsidRPr="005661DE">
        <w:rPr>
          <w:rFonts w:hint="eastAsia"/>
        </w:rPr>
        <w:t>量刑建议</w:t>
      </w:r>
      <w:r w:rsidR="002938F4" w:rsidRPr="005661DE">
        <w:rPr>
          <w:rFonts w:hint="eastAsia"/>
        </w:rPr>
        <w:t>权的</w:t>
      </w:r>
      <w:r w:rsidR="009E688C" w:rsidRPr="005661DE">
        <w:rPr>
          <w:rFonts w:hint="eastAsia"/>
        </w:rPr>
        <w:t>基础，也是审查量刑建议是否合法的基本标准。</w:t>
      </w:r>
    </w:p>
    <w:p w14:paraId="43E412BD" w14:textId="77777777" w:rsidR="009E688C" w:rsidRPr="005661DE" w:rsidRDefault="009E688C" w:rsidP="008C2522">
      <w:pPr>
        <w:pStyle w:val="2"/>
        <w:snapToGrid w:val="0"/>
      </w:pPr>
      <w:bookmarkStart w:id="18" w:name="_Toc36842045"/>
      <w:bookmarkStart w:id="19" w:name="_Toc36844717"/>
      <w:r w:rsidRPr="005661DE">
        <w:rPr>
          <w:rFonts w:hint="eastAsia"/>
        </w:rPr>
        <w:t>（二）建议达成的协商性</w:t>
      </w:r>
      <w:bookmarkEnd w:id="18"/>
      <w:bookmarkEnd w:id="19"/>
    </w:p>
    <w:p w14:paraId="1FAFAAF6" w14:textId="77777777" w:rsidR="009E688C" w:rsidRPr="005661DE" w:rsidRDefault="009E688C" w:rsidP="008C2522">
      <w:pPr>
        <w:snapToGrid w:val="0"/>
        <w:spacing w:line="300" w:lineRule="auto"/>
      </w:pPr>
      <w:r w:rsidRPr="005661DE">
        <w:rPr>
          <w:rFonts w:hint="eastAsia"/>
        </w:rPr>
        <w:t>我国实行的是超职权主义诉讼制度。</w:t>
      </w:r>
      <w:r w:rsidR="00B226DC">
        <w:rPr>
          <w:rFonts w:hint="eastAsia"/>
        </w:rPr>
        <w:t>长期历史的发展，司法实践中选择了对抗式诉讼的理念，并逐步得到强化，而认罪协商的理念在实务中无法得到支持，被往往被忽视。</w:t>
      </w:r>
      <w:r w:rsidRPr="005661DE">
        <w:rPr>
          <w:rFonts w:hint="eastAsia"/>
        </w:rPr>
        <w:t>认罪认罚从宽制度的法律性质决定了认罪认罚不是办案机关对被追诉人的“恩赐”。</w:t>
      </w:r>
      <w:r w:rsidRPr="006146D6">
        <w:rPr>
          <w:vertAlign w:val="superscript"/>
        </w:rPr>
        <w:footnoteReference w:id="10"/>
      </w:r>
      <w:r w:rsidRPr="005661DE">
        <w:rPr>
          <w:rFonts w:hint="eastAsia"/>
        </w:rPr>
        <w:t>认罪认罚从宽案件应当是控辩双方协商一致的结果，体现的是“协商性司法”的特点。域外辩诉交易制度协商的内容包含罪名、量刑及罪数。而认罪认罚从宽制度中的量刑协商仅含有量刑的内容。我国传统的量刑建议是指检察机关根据被告人的犯罪行为在刑事诉讼活动中其应判处的刑罚向法院提出的建议，是控方单方面的意思表示；而认罪认罚从宽制度下，量刑建议是在被告人主动认罪的前提下，控辩双方协商的产物，体现的是双方对量刑的合意，是检察机关代</w:t>
      </w:r>
      <w:r w:rsidRPr="005661DE">
        <w:rPr>
          <w:rFonts w:hint="eastAsia"/>
        </w:rPr>
        <w:lastRenderedPageBreak/>
        <w:t>表国家对犯罪嫌疑人、被告人认罪认罚给予宽大处理的一种承诺。此外，特别要注意的是《刑事诉讼法》第</w:t>
      </w:r>
      <w:r w:rsidRPr="005661DE">
        <w:t>201</w:t>
      </w:r>
      <w:r w:rsidRPr="005661DE">
        <w:rPr>
          <w:rFonts w:hint="eastAsia"/>
        </w:rPr>
        <w:t>条第</w:t>
      </w:r>
      <w:r w:rsidRPr="005661DE">
        <w:t>2</w:t>
      </w:r>
      <w:r w:rsidRPr="005661DE">
        <w:rPr>
          <w:rFonts w:hint="eastAsia"/>
        </w:rPr>
        <w:t>款</w:t>
      </w:r>
      <w:r w:rsidR="00884A02" w:rsidRPr="005661DE">
        <w:rPr>
          <w:rFonts w:hint="eastAsia"/>
        </w:rPr>
        <w:t>的</w:t>
      </w:r>
      <w:r w:rsidRPr="005661DE">
        <w:rPr>
          <w:rFonts w:hint="eastAsia"/>
        </w:rPr>
        <w:t>规定，</w:t>
      </w:r>
      <w:r w:rsidR="00472CED" w:rsidRPr="005661DE">
        <w:rPr>
          <w:rFonts w:hint="eastAsia"/>
        </w:rPr>
        <w:t>该条规定本质上是</w:t>
      </w:r>
      <w:r w:rsidRPr="005661DE">
        <w:rPr>
          <w:rFonts w:hint="eastAsia"/>
        </w:rPr>
        <w:t>肯定了</w:t>
      </w:r>
      <w:r w:rsidR="00472CED" w:rsidRPr="005661DE">
        <w:rPr>
          <w:rFonts w:hint="eastAsia"/>
        </w:rPr>
        <w:t>在审判程序</w:t>
      </w:r>
      <w:r w:rsidRPr="005661DE">
        <w:rPr>
          <w:rFonts w:hint="eastAsia"/>
        </w:rPr>
        <w:t>可进行量刑协商</w:t>
      </w:r>
      <w:r w:rsidR="00E21225" w:rsidRPr="005661DE">
        <w:rPr>
          <w:rFonts w:hint="eastAsia"/>
        </w:rPr>
        <w:t>的做法</w:t>
      </w:r>
      <w:r w:rsidR="00472CED" w:rsidRPr="005661DE">
        <w:rPr>
          <w:rFonts w:hint="eastAsia"/>
        </w:rPr>
        <w:t>，此时公诉人和被告人一方</w:t>
      </w:r>
      <w:r w:rsidR="00E21225" w:rsidRPr="005661DE">
        <w:rPr>
          <w:rFonts w:hint="eastAsia"/>
        </w:rPr>
        <w:t>主体</w:t>
      </w:r>
      <w:r w:rsidR="00472CED" w:rsidRPr="005661DE">
        <w:rPr>
          <w:rFonts w:hint="eastAsia"/>
        </w:rPr>
        <w:t>依旧是协商的主体，只</w:t>
      </w:r>
      <w:r w:rsidR="00E21225" w:rsidRPr="005661DE">
        <w:rPr>
          <w:rFonts w:hint="eastAsia"/>
        </w:rPr>
        <w:t>是将</w:t>
      </w:r>
      <w:r w:rsidR="00472CED" w:rsidRPr="005661DE">
        <w:rPr>
          <w:rFonts w:hint="eastAsia"/>
        </w:rPr>
        <w:t>原本存在于审查起诉环节的量刑协商</w:t>
      </w:r>
      <w:r w:rsidR="00486322" w:rsidRPr="005661DE">
        <w:rPr>
          <w:rFonts w:hint="eastAsia"/>
        </w:rPr>
        <w:t>程序</w:t>
      </w:r>
      <w:r w:rsidR="008B4B2F" w:rsidRPr="005661DE">
        <w:rPr>
          <w:rFonts w:hint="eastAsia"/>
        </w:rPr>
        <w:t>转移至庭审中</w:t>
      </w:r>
      <w:r w:rsidR="00E21225" w:rsidRPr="005661DE">
        <w:rPr>
          <w:rFonts w:hint="eastAsia"/>
        </w:rPr>
        <w:t>进行</w:t>
      </w:r>
      <w:r w:rsidR="00D36169">
        <w:rPr>
          <w:rFonts w:hint="eastAsia"/>
        </w:rPr>
        <w:t>。</w:t>
      </w:r>
      <w:r w:rsidRPr="006146D6">
        <w:rPr>
          <w:vertAlign w:val="superscript"/>
        </w:rPr>
        <w:footnoteReference w:id="11"/>
      </w:r>
    </w:p>
    <w:p w14:paraId="313E7217" w14:textId="77777777" w:rsidR="009E688C" w:rsidRPr="005661DE" w:rsidRDefault="009E688C" w:rsidP="008C2522">
      <w:pPr>
        <w:pStyle w:val="2"/>
        <w:snapToGrid w:val="0"/>
      </w:pPr>
      <w:bookmarkStart w:id="20" w:name="_Toc36842046"/>
      <w:bookmarkStart w:id="21" w:name="_Toc36844718"/>
      <w:r w:rsidRPr="005661DE">
        <w:rPr>
          <w:rFonts w:hint="eastAsia"/>
        </w:rPr>
        <w:t>（三）建议效力的预决性</w:t>
      </w:r>
      <w:bookmarkEnd w:id="20"/>
      <w:bookmarkEnd w:id="21"/>
    </w:p>
    <w:p w14:paraId="43ABA436" w14:textId="77777777" w:rsidR="009E688C" w:rsidRDefault="009E688C" w:rsidP="008C2522">
      <w:pPr>
        <w:snapToGrid w:val="0"/>
        <w:spacing w:line="300" w:lineRule="auto"/>
      </w:pPr>
      <w:r w:rsidRPr="005661DE">
        <w:rPr>
          <w:rFonts w:hint="eastAsia"/>
        </w:rPr>
        <w:t>在传统的量刑建议制度中，“在检察机关量刑建议效力上的基本共识是，量刑建议只是控诉机关的程序性请求，对法院的量刑裁判并无必然约束力，仅供其在量刑时参考。”</w:t>
      </w:r>
      <w:r w:rsidRPr="006146D6">
        <w:rPr>
          <w:vertAlign w:val="superscript"/>
        </w:rPr>
        <w:footnoteReference w:id="12"/>
      </w:r>
      <w:r w:rsidRPr="005661DE">
        <w:rPr>
          <w:rFonts w:hint="eastAsia"/>
        </w:rPr>
        <w:t>但随着我国认罪认罚从宽制度的确立，这一传统认识应当加以改变。认罪认罚从宽案件中的量刑建议是有效力的，控辩双方具有遵守义务，而法院一般要尊重量刑建议。而且这与非认罪认罚的一般案件的量刑建议也存在重大区别。《刑事诉讼法》第</w:t>
      </w:r>
      <w:r w:rsidRPr="005661DE">
        <w:t>201</w:t>
      </w:r>
      <w:r w:rsidRPr="005661DE">
        <w:rPr>
          <w:rFonts w:hint="eastAsia"/>
        </w:rPr>
        <w:t>条第</w:t>
      </w:r>
      <w:r w:rsidRPr="005661DE">
        <w:t>1</w:t>
      </w:r>
      <w:r w:rsidRPr="005661DE">
        <w:rPr>
          <w:rFonts w:hint="eastAsia"/>
        </w:rPr>
        <w:t>款</w:t>
      </w:r>
      <w:r w:rsidR="00861D2E">
        <w:rPr>
          <w:rFonts w:hint="eastAsia"/>
        </w:rPr>
        <w:t>明确规定法院一般应当采纳检察官提出的量刑建议，</w:t>
      </w:r>
      <w:r w:rsidR="008B4B2F" w:rsidRPr="005661DE">
        <w:rPr>
          <w:rFonts w:hint="eastAsia"/>
        </w:rPr>
        <w:t>即</w:t>
      </w:r>
      <w:r w:rsidRPr="005661DE">
        <w:rPr>
          <w:rFonts w:hint="eastAsia"/>
        </w:rPr>
        <w:t>人民法院在审理事实清楚、罪名准确、量刑建议适当的案件</w:t>
      </w:r>
      <w:r w:rsidR="00315097" w:rsidRPr="005661DE">
        <w:rPr>
          <w:rFonts w:hint="eastAsia"/>
        </w:rPr>
        <w:t>时</w:t>
      </w:r>
      <w:r w:rsidRPr="005661DE">
        <w:rPr>
          <w:rFonts w:hint="eastAsia"/>
        </w:rPr>
        <w:t>，应当尊重控辩双方的合意，采纳检察机关提出的量刑建议</w:t>
      </w:r>
      <w:r w:rsidR="008B4B2F" w:rsidRPr="005661DE">
        <w:rPr>
          <w:rFonts w:hint="eastAsia"/>
        </w:rPr>
        <w:t>。</w:t>
      </w:r>
      <w:r w:rsidRPr="005661DE">
        <w:rPr>
          <w:rFonts w:hint="eastAsia"/>
        </w:rPr>
        <w:t>该条规定涉及到认罪认罚从宽制度下法院与检察院</w:t>
      </w:r>
      <w:r w:rsidR="002938F4" w:rsidRPr="005661DE">
        <w:rPr>
          <w:rFonts w:hint="eastAsia"/>
        </w:rPr>
        <w:t>间</w:t>
      </w:r>
      <w:r w:rsidRPr="005661DE">
        <w:rPr>
          <w:rFonts w:hint="eastAsia"/>
        </w:rPr>
        <w:t>的关系，也体现了效率和公正之间的价值衡量，</w:t>
      </w:r>
      <w:r w:rsidR="001F6E73" w:rsidRPr="005661DE">
        <w:rPr>
          <w:rFonts w:hint="eastAsia"/>
        </w:rPr>
        <w:t>在不断完善制度的进程中，这既是重点</w:t>
      </w:r>
      <w:r w:rsidRPr="005661DE">
        <w:rPr>
          <w:rFonts w:hint="eastAsia"/>
        </w:rPr>
        <w:t>问题，也</w:t>
      </w:r>
      <w:r w:rsidR="001F6E73" w:rsidRPr="005661DE">
        <w:rPr>
          <w:rFonts w:hint="eastAsia"/>
        </w:rPr>
        <w:t>是难点问题。一方面，要把认罪认罚案件中的量刑建议效力与其他</w:t>
      </w:r>
      <w:r w:rsidR="002938F4" w:rsidRPr="005661DE">
        <w:rPr>
          <w:rFonts w:hint="eastAsia"/>
        </w:rPr>
        <w:t>一般</w:t>
      </w:r>
      <w:r w:rsidRPr="005661DE">
        <w:rPr>
          <w:rFonts w:hint="eastAsia"/>
        </w:rPr>
        <w:t>案件的建议效力做以区分，体现对量刑协商的尊重；另一方面，这不是辩诉交易的复制或翻版，检察机关行使量刑建议权不能侵犯法院的量刑权。法院作为最终对被告人定罪量刑的决定机关，仍需对量刑过程进行审查，避免将审理过程沦为量刑建议程序的确认程序。</w:t>
      </w:r>
    </w:p>
    <w:p w14:paraId="5FA93D67" w14:textId="77777777" w:rsidR="00244D89" w:rsidRDefault="00244D89" w:rsidP="008C2522">
      <w:pPr>
        <w:snapToGrid w:val="0"/>
        <w:spacing w:line="300" w:lineRule="auto"/>
      </w:pPr>
    </w:p>
    <w:p w14:paraId="50093B7C" w14:textId="77777777" w:rsidR="00244D89" w:rsidRDefault="00244D89" w:rsidP="008C2522">
      <w:pPr>
        <w:snapToGrid w:val="0"/>
        <w:spacing w:line="300" w:lineRule="auto"/>
      </w:pPr>
    </w:p>
    <w:p w14:paraId="0D3BD5A6" w14:textId="77777777" w:rsidR="00244D89" w:rsidRDefault="00244D89" w:rsidP="008C2522">
      <w:pPr>
        <w:snapToGrid w:val="0"/>
        <w:spacing w:line="300" w:lineRule="auto"/>
      </w:pPr>
    </w:p>
    <w:p w14:paraId="4B7FED5D" w14:textId="77777777" w:rsidR="00244D89" w:rsidRDefault="00244D89" w:rsidP="008C2522">
      <w:pPr>
        <w:snapToGrid w:val="0"/>
        <w:spacing w:line="300" w:lineRule="auto"/>
      </w:pPr>
    </w:p>
    <w:p w14:paraId="05C1DB23" w14:textId="77777777" w:rsidR="00244D89" w:rsidRDefault="00244D89" w:rsidP="008C2522">
      <w:pPr>
        <w:snapToGrid w:val="0"/>
        <w:spacing w:line="300" w:lineRule="auto"/>
      </w:pPr>
    </w:p>
    <w:p w14:paraId="790072BA" w14:textId="77777777" w:rsidR="00244D89" w:rsidRDefault="00244D89" w:rsidP="008C2522">
      <w:pPr>
        <w:snapToGrid w:val="0"/>
        <w:spacing w:line="300" w:lineRule="auto"/>
      </w:pPr>
    </w:p>
    <w:p w14:paraId="213E3F6F" w14:textId="77777777" w:rsidR="00244D89" w:rsidRDefault="00244D89" w:rsidP="008C2522">
      <w:pPr>
        <w:snapToGrid w:val="0"/>
        <w:spacing w:line="300" w:lineRule="auto"/>
      </w:pPr>
    </w:p>
    <w:p w14:paraId="6C145485" w14:textId="77777777" w:rsidR="00244D89" w:rsidRDefault="00244D89" w:rsidP="008C2522">
      <w:pPr>
        <w:snapToGrid w:val="0"/>
        <w:spacing w:line="300" w:lineRule="auto"/>
      </w:pPr>
    </w:p>
    <w:p w14:paraId="62FB724B" w14:textId="77777777" w:rsidR="00244D89" w:rsidRDefault="00244D89" w:rsidP="008C2522">
      <w:pPr>
        <w:snapToGrid w:val="0"/>
        <w:spacing w:line="300" w:lineRule="auto"/>
      </w:pPr>
    </w:p>
    <w:p w14:paraId="635C8A60" w14:textId="77777777" w:rsidR="00244D89" w:rsidRDefault="00244D89" w:rsidP="008C2522">
      <w:pPr>
        <w:snapToGrid w:val="0"/>
        <w:spacing w:line="300" w:lineRule="auto"/>
      </w:pPr>
    </w:p>
    <w:p w14:paraId="70356AA0" w14:textId="77777777" w:rsidR="00244D89" w:rsidRDefault="00244D89" w:rsidP="008C2522">
      <w:pPr>
        <w:snapToGrid w:val="0"/>
        <w:spacing w:line="300" w:lineRule="auto"/>
      </w:pPr>
    </w:p>
    <w:p w14:paraId="4C486F97" w14:textId="77777777" w:rsidR="00244D89" w:rsidRDefault="00244D89" w:rsidP="008C2522">
      <w:pPr>
        <w:snapToGrid w:val="0"/>
        <w:spacing w:line="300" w:lineRule="auto"/>
      </w:pPr>
    </w:p>
    <w:p w14:paraId="11EDCA40" w14:textId="77777777" w:rsidR="00244D89" w:rsidRDefault="00244D89" w:rsidP="008C2522">
      <w:pPr>
        <w:snapToGrid w:val="0"/>
        <w:spacing w:line="300" w:lineRule="auto"/>
      </w:pPr>
    </w:p>
    <w:p w14:paraId="6A74BD48" w14:textId="77777777" w:rsidR="00244D89" w:rsidRDefault="00244D89" w:rsidP="008C2522">
      <w:pPr>
        <w:snapToGrid w:val="0"/>
        <w:spacing w:line="300" w:lineRule="auto"/>
      </w:pPr>
    </w:p>
    <w:p w14:paraId="1B8E70AA" w14:textId="77777777" w:rsidR="00244D89" w:rsidRDefault="00244D89" w:rsidP="008C2522">
      <w:pPr>
        <w:snapToGrid w:val="0"/>
        <w:spacing w:line="300" w:lineRule="auto"/>
      </w:pPr>
    </w:p>
    <w:p w14:paraId="4284E6C0" w14:textId="77777777" w:rsidR="00244D89" w:rsidRDefault="00244D89" w:rsidP="008C2522">
      <w:pPr>
        <w:snapToGrid w:val="0"/>
        <w:spacing w:line="300" w:lineRule="auto"/>
      </w:pPr>
    </w:p>
    <w:p w14:paraId="7F95280A" w14:textId="77777777" w:rsidR="00244D89" w:rsidRDefault="00244D89" w:rsidP="008C2522">
      <w:pPr>
        <w:snapToGrid w:val="0"/>
        <w:spacing w:line="300" w:lineRule="auto"/>
      </w:pPr>
    </w:p>
    <w:p w14:paraId="182E151A" w14:textId="77777777" w:rsidR="00244D89" w:rsidRDefault="00244D89" w:rsidP="008C2522">
      <w:pPr>
        <w:snapToGrid w:val="0"/>
        <w:spacing w:line="300" w:lineRule="auto"/>
      </w:pPr>
    </w:p>
    <w:p w14:paraId="3AEC3786" w14:textId="77777777" w:rsidR="00244D89" w:rsidRDefault="00244D89" w:rsidP="008C2522">
      <w:pPr>
        <w:snapToGrid w:val="0"/>
        <w:spacing w:line="300" w:lineRule="auto"/>
      </w:pPr>
    </w:p>
    <w:p w14:paraId="131AE88C" w14:textId="77777777" w:rsidR="00244D89" w:rsidRDefault="00244D89" w:rsidP="008C2522">
      <w:pPr>
        <w:snapToGrid w:val="0"/>
        <w:spacing w:line="300" w:lineRule="auto"/>
      </w:pPr>
    </w:p>
    <w:p w14:paraId="0D55C1EC" w14:textId="77777777" w:rsidR="00244D89" w:rsidRPr="005661DE" w:rsidRDefault="00244D89" w:rsidP="008C2522">
      <w:pPr>
        <w:snapToGrid w:val="0"/>
        <w:spacing w:line="300" w:lineRule="auto"/>
      </w:pPr>
    </w:p>
    <w:p w14:paraId="2AC78CE0" w14:textId="77777777" w:rsidR="00C93E1E" w:rsidRPr="005661DE" w:rsidRDefault="00C93E1E" w:rsidP="008C2522">
      <w:pPr>
        <w:snapToGrid w:val="0"/>
        <w:spacing w:line="300" w:lineRule="auto"/>
      </w:pPr>
    </w:p>
    <w:p w14:paraId="44743E5F" w14:textId="77777777" w:rsidR="009E688C" w:rsidRPr="005661DE" w:rsidRDefault="009E688C" w:rsidP="008C2522">
      <w:pPr>
        <w:pStyle w:val="1"/>
        <w:snapToGrid w:val="0"/>
      </w:pPr>
      <w:bookmarkStart w:id="22" w:name="_Toc36842047"/>
      <w:bookmarkStart w:id="23" w:name="_Toc36844719"/>
      <w:r w:rsidRPr="005661DE">
        <w:rPr>
          <w:rFonts w:hint="eastAsia"/>
        </w:rPr>
        <w:lastRenderedPageBreak/>
        <w:t>三、域外认罪程序下量刑建议权之比较</w:t>
      </w:r>
      <w:bookmarkEnd w:id="22"/>
      <w:bookmarkEnd w:id="23"/>
    </w:p>
    <w:p w14:paraId="3A89A9EA" w14:textId="77777777" w:rsidR="009E688C" w:rsidRPr="005661DE" w:rsidRDefault="009E688C" w:rsidP="008C2522">
      <w:pPr>
        <w:snapToGrid w:val="0"/>
        <w:spacing w:line="300" w:lineRule="auto"/>
      </w:pPr>
    </w:p>
    <w:p w14:paraId="4E4842F5" w14:textId="77777777" w:rsidR="009E688C" w:rsidRPr="005661DE" w:rsidRDefault="009E688C" w:rsidP="008C2522">
      <w:pPr>
        <w:snapToGrid w:val="0"/>
        <w:spacing w:line="300" w:lineRule="auto"/>
      </w:pPr>
      <w:r w:rsidRPr="005661DE">
        <w:rPr>
          <w:rFonts w:hint="eastAsia"/>
        </w:rPr>
        <w:t>世界各国法律都赋予法官自由裁量的权力，但实践中难免会出现量刑失衡、量刑不公正等问题，为缓解公</w:t>
      </w:r>
      <w:r w:rsidR="004D72E3" w:rsidRPr="005661DE">
        <w:rPr>
          <w:rFonts w:hint="eastAsia"/>
        </w:rPr>
        <w:t>正与效率之间的矛盾，各国都进行了有针对性的刑事司法制度改革探索</w:t>
      </w:r>
      <w:r w:rsidRPr="005661DE">
        <w:rPr>
          <w:rFonts w:hint="eastAsia"/>
        </w:rPr>
        <w:t>。无论是在英美法系国家还是大陆法系国家，在刑事诉讼制度中大多含有量刑建议的内容</w:t>
      </w:r>
      <w:r w:rsidR="004D72E3" w:rsidRPr="005661DE">
        <w:rPr>
          <w:rFonts w:hint="eastAsia"/>
        </w:rPr>
        <w:t>，并各具特色</w:t>
      </w:r>
      <w:r w:rsidRPr="005661DE">
        <w:rPr>
          <w:rFonts w:hint="eastAsia"/>
        </w:rPr>
        <w:t>。因此，有必要对域外量刑建议权进行探究，并在分析、比较的基础上借鉴其优秀的成果，以不断丰富完善我国的量刑建议权制度。</w:t>
      </w:r>
    </w:p>
    <w:p w14:paraId="453D9FBF" w14:textId="77777777" w:rsidR="009E688C" w:rsidRPr="005661DE" w:rsidRDefault="009E688C" w:rsidP="008C2522">
      <w:pPr>
        <w:pStyle w:val="2"/>
        <w:snapToGrid w:val="0"/>
      </w:pPr>
      <w:bookmarkStart w:id="24" w:name="_Toc36842048"/>
      <w:bookmarkStart w:id="25" w:name="_Toc36844720"/>
      <w:r w:rsidRPr="005661DE">
        <w:rPr>
          <w:rFonts w:hint="eastAsia"/>
        </w:rPr>
        <w:t>（一）各国认罪程序下量刑建议权的概况</w:t>
      </w:r>
      <w:bookmarkEnd w:id="24"/>
      <w:bookmarkEnd w:id="25"/>
    </w:p>
    <w:p w14:paraId="68264E0E" w14:textId="77777777" w:rsidR="009E688C" w:rsidRPr="005661DE" w:rsidRDefault="009E688C" w:rsidP="008C2522">
      <w:pPr>
        <w:pStyle w:val="3"/>
        <w:snapToGrid w:val="0"/>
      </w:pPr>
      <w:r w:rsidRPr="005661DE">
        <w:t>1.</w:t>
      </w:r>
      <w:r w:rsidRPr="005661DE">
        <w:rPr>
          <w:rFonts w:hint="eastAsia"/>
        </w:rPr>
        <w:t>美国辩诉交易中量刑建议权</w:t>
      </w:r>
    </w:p>
    <w:p w14:paraId="208D6FF7" w14:textId="77777777" w:rsidR="009E688C" w:rsidRPr="005661DE" w:rsidRDefault="009E688C" w:rsidP="008C2522">
      <w:pPr>
        <w:snapToGrid w:val="0"/>
        <w:spacing w:line="300" w:lineRule="auto"/>
      </w:pPr>
      <w:r w:rsidRPr="005661DE">
        <w:rPr>
          <w:rFonts w:hint="eastAsia"/>
        </w:rPr>
        <w:t>美国作为辩诉交易的发源地，</w:t>
      </w:r>
      <w:r w:rsidR="00315097" w:rsidRPr="005661DE">
        <w:rPr>
          <w:rFonts w:hint="eastAsia"/>
        </w:rPr>
        <w:t>在</w:t>
      </w:r>
      <w:r w:rsidRPr="005661DE">
        <w:rPr>
          <w:rFonts w:hint="eastAsia"/>
        </w:rPr>
        <w:t>刑事诉讼中</w:t>
      </w:r>
      <w:r w:rsidR="005B5B03" w:rsidRPr="005661DE">
        <w:rPr>
          <w:rFonts w:hint="eastAsia"/>
        </w:rPr>
        <w:t>建立了</w:t>
      </w:r>
      <w:r w:rsidR="004D72E3" w:rsidRPr="005661DE">
        <w:rPr>
          <w:rFonts w:hint="eastAsia"/>
        </w:rPr>
        <w:t>以</w:t>
      </w:r>
      <w:r w:rsidRPr="005661DE">
        <w:rPr>
          <w:rFonts w:hint="eastAsia"/>
        </w:rPr>
        <w:t>从宽的量刑换取被告人的认罪</w:t>
      </w:r>
      <w:r w:rsidR="004D72E3" w:rsidRPr="005661DE">
        <w:rPr>
          <w:rFonts w:hint="eastAsia"/>
        </w:rPr>
        <w:t>为核心的</w:t>
      </w:r>
      <w:r w:rsidR="001F6E73" w:rsidRPr="005661DE">
        <w:rPr>
          <w:rFonts w:hint="eastAsia"/>
        </w:rPr>
        <w:t>具有浓厚“交易”色彩的</w:t>
      </w:r>
      <w:r w:rsidR="004D72E3" w:rsidRPr="005661DE">
        <w:rPr>
          <w:rFonts w:hint="eastAsia"/>
        </w:rPr>
        <w:t>辩诉交易制度</w:t>
      </w:r>
      <w:r w:rsidRPr="005661DE">
        <w:rPr>
          <w:rFonts w:hint="eastAsia"/>
        </w:rPr>
        <w:t>。辩诉交易产生的根源是因为检察官能够证明一部分犯罪，而没有把握证明全部犯罪。在这种情况下，无</w:t>
      </w:r>
      <w:r w:rsidR="0025626D">
        <w:rPr>
          <w:rFonts w:hint="eastAsia"/>
        </w:rPr>
        <w:t>论法律是否明确允许答辩协议，多数控辩双方会相互妥协减少司法风险。</w:t>
      </w:r>
      <w:r w:rsidRPr="005661DE">
        <w:rPr>
          <w:rFonts w:hint="eastAsia"/>
        </w:rPr>
        <w:t>在美国，检察官具有强大的量刑建议权，且大多不被法官所干涉。法官为保证辩诉交易的自愿性，不介入协商的过程，仅做事后审查。</w:t>
      </w:r>
      <w:r w:rsidR="00290B4B" w:rsidRPr="005661DE">
        <w:rPr>
          <w:rFonts w:hint="eastAsia"/>
        </w:rPr>
        <w:t>法官通过审理认为被告人有罪后，检察官就其</w:t>
      </w:r>
      <w:r w:rsidRPr="005661DE">
        <w:rPr>
          <w:rFonts w:hint="eastAsia"/>
        </w:rPr>
        <w:t>提出量刑建议以供法官参考。</w:t>
      </w:r>
      <w:r w:rsidR="00277BC3" w:rsidRPr="005661DE">
        <w:rPr>
          <w:rFonts w:hint="eastAsia"/>
        </w:rPr>
        <w:t>为实现控辩审三方各自的利益，满足辩诉交易的目的，检察官可以建议被告人做有罪辩护，从而向法庭提出从轻量刑的建议。此时法官可不经陪审团直接作出判决，以提高审判效率。</w:t>
      </w:r>
      <w:r w:rsidR="00D246A4" w:rsidRPr="005661DE">
        <w:rPr>
          <w:rFonts w:hint="eastAsia"/>
        </w:rPr>
        <w:t>适用辩诉交易的案件中，检察官需要</w:t>
      </w:r>
      <w:r w:rsidR="0088749A" w:rsidRPr="005661DE">
        <w:rPr>
          <w:rFonts w:hint="eastAsia"/>
        </w:rPr>
        <w:t>概括总结</w:t>
      </w:r>
      <w:r w:rsidR="00D246A4" w:rsidRPr="005661DE">
        <w:rPr>
          <w:rFonts w:hint="eastAsia"/>
        </w:rPr>
        <w:t>案件中的</w:t>
      </w:r>
      <w:r w:rsidR="0088749A" w:rsidRPr="005661DE">
        <w:rPr>
          <w:rFonts w:hint="eastAsia"/>
        </w:rPr>
        <w:t>证据</w:t>
      </w:r>
      <w:r w:rsidR="00D246A4" w:rsidRPr="005661DE">
        <w:rPr>
          <w:rFonts w:hint="eastAsia"/>
        </w:rPr>
        <w:t>提交至法院，</w:t>
      </w:r>
      <w:r w:rsidR="0088749A" w:rsidRPr="005661DE">
        <w:rPr>
          <w:rFonts w:hint="eastAsia"/>
        </w:rPr>
        <w:t>由法官</w:t>
      </w:r>
      <w:r w:rsidR="00D246A4" w:rsidRPr="005661DE">
        <w:rPr>
          <w:rFonts w:hint="eastAsia"/>
        </w:rPr>
        <w:t>通过</w:t>
      </w:r>
      <w:r w:rsidR="0088749A" w:rsidRPr="005661DE">
        <w:rPr>
          <w:rFonts w:hint="eastAsia"/>
        </w:rPr>
        <w:t>询问被告</w:t>
      </w:r>
      <w:r w:rsidR="00D246A4" w:rsidRPr="005661DE">
        <w:rPr>
          <w:rFonts w:hint="eastAsia"/>
        </w:rPr>
        <w:t>方等方式对</w:t>
      </w:r>
      <w:r w:rsidR="001D0E8F" w:rsidRPr="005661DE">
        <w:rPr>
          <w:rFonts w:hint="eastAsia"/>
        </w:rPr>
        <w:t>检察官的总结</w:t>
      </w:r>
      <w:r w:rsidR="00D246A4" w:rsidRPr="005661DE">
        <w:rPr>
          <w:rFonts w:hint="eastAsia"/>
        </w:rPr>
        <w:t>进行确认</w:t>
      </w:r>
      <w:r w:rsidR="001D0E8F" w:rsidRPr="005661DE">
        <w:rPr>
          <w:rFonts w:hint="eastAsia"/>
        </w:rPr>
        <w:t>，并且告知被告人</w:t>
      </w:r>
      <w:r w:rsidR="00277BC3" w:rsidRPr="005661DE">
        <w:rPr>
          <w:rFonts w:hint="eastAsia"/>
        </w:rPr>
        <w:t>如放弃与检察官的辩诉交易，</w:t>
      </w:r>
      <w:r w:rsidR="001D0E8F" w:rsidRPr="005661DE">
        <w:rPr>
          <w:rFonts w:hint="eastAsia"/>
        </w:rPr>
        <w:t>案件</w:t>
      </w:r>
      <w:r w:rsidR="00277BC3" w:rsidRPr="005661DE">
        <w:rPr>
          <w:rFonts w:hint="eastAsia"/>
        </w:rPr>
        <w:t>将提交法院审判</w:t>
      </w:r>
      <w:r w:rsidR="001D0E8F" w:rsidRPr="005661DE">
        <w:rPr>
          <w:rFonts w:hint="eastAsia"/>
        </w:rPr>
        <w:t>，</w:t>
      </w:r>
      <w:r w:rsidR="00277BC3" w:rsidRPr="005661DE">
        <w:rPr>
          <w:rFonts w:hint="eastAsia"/>
        </w:rPr>
        <w:t>此时</w:t>
      </w:r>
      <w:r w:rsidR="001D0E8F" w:rsidRPr="005661DE">
        <w:rPr>
          <w:rFonts w:hint="eastAsia"/>
        </w:rPr>
        <w:t>检方应承担举证责任，</w:t>
      </w:r>
      <w:r w:rsidR="00277BC3" w:rsidRPr="005661DE">
        <w:rPr>
          <w:rFonts w:hint="eastAsia"/>
        </w:rPr>
        <w:t>收集的证据应达到排除合理怀疑的标准才能</w:t>
      </w:r>
      <w:r w:rsidR="001D0E8F" w:rsidRPr="005661DE">
        <w:rPr>
          <w:rFonts w:hint="eastAsia"/>
        </w:rPr>
        <w:t>证明被告人有罪。</w:t>
      </w:r>
    </w:p>
    <w:p w14:paraId="6D0D1A63" w14:textId="77777777" w:rsidR="009E688C" w:rsidRPr="005661DE" w:rsidRDefault="009E688C" w:rsidP="008C2522">
      <w:pPr>
        <w:pStyle w:val="3"/>
        <w:snapToGrid w:val="0"/>
      </w:pPr>
      <w:r w:rsidRPr="005661DE">
        <w:t>2.</w:t>
      </w:r>
      <w:r w:rsidRPr="005661DE">
        <w:rPr>
          <w:rFonts w:hint="eastAsia"/>
        </w:rPr>
        <w:t>英国认罪答辩程序中的量刑建议权</w:t>
      </w:r>
    </w:p>
    <w:p w14:paraId="2ABA48FE" w14:textId="77777777" w:rsidR="009E688C" w:rsidRPr="005661DE" w:rsidRDefault="00CA28E4" w:rsidP="008C2522">
      <w:pPr>
        <w:snapToGrid w:val="0"/>
        <w:spacing w:line="300" w:lineRule="auto"/>
      </w:pPr>
      <w:r w:rsidRPr="005661DE">
        <w:rPr>
          <w:rFonts w:hint="eastAsia"/>
        </w:rPr>
        <w:t>在英国很长的一段历史中，社会并不认同</w:t>
      </w:r>
      <w:r w:rsidR="009E688C" w:rsidRPr="005661DE">
        <w:rPr>
          <w:rFonts w:hint="eastAsia"/>
        </w:rPr>
        <w:t>辩诉交易制度，而是用“有罪答辩”一词代</w:t>
      </w:r>
      <w:r w:rsidR="00514AFC" w:rsidRPr="005661DE">
        <w:rPr>
          <w:rFonts w:hint="eastAsia"/>
        </w:rPr>
        <w:t>替因被告人自我</w:t>
      </w:r>
      <w:r w:rsidR="00B83F62" w:rsidRPr="005661DE">
        <w:rPr>
          <w:rFonts w:hint="eastAsia"/>
        </w:rPr>
        <w:t>认罪而定罪处罚的程序。相较于美国，英国对</w:t>
      </w:r>
      <w:r w:rsidR="009E688C" w:rsidRPr="005661DE">
        <w:rPr>
          <w:rFonts w:hint="eastAsia"/>
        </w:rPr>
        <w:t>检察官</w:t>
      </w:r>
      <w:r w:rsidR="00B20655" w:rsidRPr="005661DE">
        <w:rPr>
          <w:rFonts w:hint="eastAsia"/>
        </w:rPr>
        <w:t>的权力进行了诸多更为严格的规制，现存英国刑事司法体系中的是受到严格约束</w:t>
      </w:r>
      <w:r w:rsidR="009E688C" w:rsidRPr="005661DE">
        <w:rPr>
          <w:rFonts w:hint="eastAsia"/>
        </w:rPr>
        <w:t>的辩诉交易</w:t>
      </w:r>
      <w:r w:rsidR="009E688C" w:rsidRPr="005661DE">
        <w:t>——</w:t>
      </w:r>
      <w:r w:rsidR="009E688C" w:rsidRPr="005661DE">
        <w:rPr>
          <w:rFonts w:hint="eastAsia"/>
        </w:rPr>
        <w:t>认罪答辩程序。</w:t>
      </w:r>
      <w:r w:rsidR="003601F6" w:rsidRPr="005661DE">
        <w:rPr>
          <w:rFonts w:hint="eastAsia"/>
        </w:rPr>
        <w:t>该程序以被告人是否认罪为准则</w:t>
      </w:r>
      <w:r w:rsidR="000A42D8" w:rsidRPr="005661DE">
        <w:rPr>
          <w:rFonts w:hint="eastAsia"/>
        </w:rPr>
        <w:t>对刑案</w:t>
      </w:r>
      <w:r w:rsidR="00B20655" w:rsidRPr="005661DE">
        <w:rPr>
          <w:rFonts w:hint="eastAsia"/>
        </w:rPr>
        <w:t>做以区分</w:t>
      </w:r>
      <w:r w:rsidR="009E688C" w:rsidRPr="005661DE">
        <w:rPr>
          <w:rFonts w:hint="eastAsia"/>
        </w:rPr>
        <w:t>，即</w:t>
      </w:r>
      <w:r w:rsidR="000E3A5C" w:rsidRPr="005661DE">
        <w:rPr>
          <w:rFonts w:hint="eastAsia"/>
        </w:rPr>
        <w:t>第一次开庭审理时如果被告人选择</w:t>
      </w:r>
      <w:r w:rsidR="009E688C" w:rsidRPr="005661DE">
        <w:rPr>
          <w:rFonts w:hint="eastAsia"/>
        </w:rPr>
        <w:t>有罪答辩，</w:t>
      </w:r>
      <w:r w:rsidR="00B20655" w:rsidRPr="005661DE">
        <w:rPr>
          <w:rFonts w:hint="eastAsia"/>
        </w:rPr>
        <w:t>可</w:t>
      </w:r>
      <w:r w:rsidR="000A42D8" w:rsidRPr="005661DE">
        <w:rPr>
          <w:rFonts w:hint="eastAsia"/>
        </w:rPr>
        <w:t>径直适用</w:t>
      </w:r>
      <w:r w:rsidR="009E688C" w:rsidRPr="005661DE">
        <w:rPr>
          <w:rFonts w:hint="eastAsia"/>
        </w:rPr>
        <w:t>量刑程序</w:t>
      </w:r>
      <w:r w:rsidR="00B20655" w:rsidRPr="005661DE">
        <w:rPr>
          <w:rFonts w:hint="eastAsia"/>
        </w:rPr>
        <w:t>，而无需陪审团的审判</w:t>
      </w:r>
      <w:r w:rsidR="009E688C" w:rsidRPr="005661DE">
        <w:rPr>
          <w:rFonts w:hint="eastAsia"/>
        </w:rPr>
        <w:t>。</w:t>
      </w:r>
      <w:r w:rsidR="009E688C" w:rsidRPr="006146D6">
        <w:rPr>
          <w:vertAlign w:val="superscript"/>
        </w:rPr>
        <w:footnoteReference w:id="13"/>
      </w:r>
      <w:r w:rsidR="009E688C" w:rsidRPr="005661DE">
        <w:rPr>
          <w:rFonts w:hint="eastAsia"/>
        </w:rPr>
        <w:t>在英国刑事案件中，量刑程序和认定被告人是否有罪的程序完全分离。检察官必须熟练掌握英国的立法和量刑规则中对认罪的被告人从宽量刑减让的幅度，并清楚告知被告人，保证其在作有罪答辩时对量刑有明确的预期，但其并没有发表量刑建议的权力。如在刑事法庭，被告人是否有罪交由陪审团审理，而量刑权属于法官；治安法庭中，确定被告是否有罪和决定量刑属于两个不同审判的阶段，但都由法官决定。在决定量刑的</w:t>
      </w:r>
      <w:r w:rsidR="00D8349A" w:rsidRPr="005661DE">
        <w:rPr>
          <w:rFonts w:hint="eastAsia"/>
        </w:rPr>
        <w:t>阶段中，程序的开启交由控方的律师，律师有权提醒法官注意相关的法律规定及</w:t>
      </w:r>
      <w:r w:rsidR="009E688C" w:rsidRPr="005661DE">
        <w:rPr>
          <w:rFonts w:hint="eastAsia"/>
        </w:rPr>
        <w:t>高等法院的判决指导。</w:t>
      </w:r>
    </w:p>
    <w:p w14:paraId="478F0A05" w14:textId="77777777" w:rsidR="009E688C" w:rsidRPr="005661DE" w:rsidRDefault="009E688C" w:rsidP="008C2522">
      <w:pPr>
        <w:pStyle w:val="3"/>
        <w:snapToGrid w:val="0"/>
      </w:pPr>
      <w:r w:rsidRPr="005661DE">
        <w:t>3.</w:t>
      </w:r>
      <w:r w:rsidRPr="005661DE">
        <w:rPr>
          <w:rFonts w:hint="eastAsia"/>
        </w:rPr>
        <w:t>法国庭前认罪协商程序的量刑建议权</w:t>
      </w:r>
    </w:p>
    <w:p w14:paraId="5580422C" w14:textId="77777777" w:rsidR="009E688C" w:rsidRPr="005661DE" w:rsidRDefault="001161B5" w:rsidP="008C2522">
      <w:pPr>
        <w:snapToGrid w:val="0"/>
        <w:spacing w:line="300" w:lineRule="auto"/>
      </w:pPr>
      <w:r w:rsidRPr="005661DE">
        <w:rPr>
          <w:rFonts w:hint="eastAsia"/>
        </w:rPr>
        <w:t>大陆法系国家在审判程序中摒弃了多元化审判模式，转而采用定罪与量刑纵向统一的单轨制审判模式。在此模式中，法官会较多的听取公诉方的意见。</w:t>
      </w:r>
      <w:r w:rsidR="009E688C" w:rsidRPr="005661DE">
        <w:t xml:space="preserve">2004 </w:t>
      </w:r>
      <w:r w:rsidR="009E688C" w:rsidRPr="005661DE">
        <w:rPr>
          <w:rFonts w:hint="eastAsia"/>
        </w:rPr>
        <w:t>年</w:t>
      </w:r>
      <w:r w:rsidR="009E688C" w:rsidRPr="005661DE">
        <w:t>3</w:t>
      </w:r>
      <w:r w:rsidR="009E688C" w:rsidRPr="005661DE">
        <w:rPr>
          <w:rFonts w:hint="eastAsia"/>
        </w:rPr>
        <w:t>月</w:t>
      </w:r>
      <w:r w:rsidR="009E688C" w:rsidRPr="005661DE">
        <w:t>9</w:t>
      </w:r>
      <w:r w:rsidR="007B0AC5" w:rsidRPr="005661DE">
        <w:rPr>
          <w:rFonts w:hint="eastAsia"/>
        </w:rPr>
        <w:t>日，法国制定</w:t>
      </w:r>
      <w:r w:rsidR="009E688C" w:rsidRPr="005661DE">
        <w:rPr>
          <w:rFonts w:hint="eastAsia"/>
        </w:rPr>
        <w:t>了庭前认罪协商程序。</w:t>
      </w:r>
      <w:r w:rsidR="009E688C" w:rsidRPr="006146D6">
        <w:rPr>
          <w:vertAlign w:val="superscript"/>
        </w:rPr>
        <w:footnoteReference w:id="14"/>
      </w:r>
      <w:r w:rsidR="008E7B29" w:rsidRPr="005661DE">
        <w:rPr>
          <w:rFonts w:hint="eastAsia"/>
        </w:rPr>
        <w:t>在法国，庭前认罪协商程序只在刑罚在五年以下、主刑适用罚金刑等量刑较轻或</w:t>
      </w:r>
      <w:r w:rsidR="009E688C" w:rsidRPr="005661DE">
        <w:rPr>
          <w:rFonts w:hint="eastAsia"/>
        </w:rPr>
        <w:t>案情简单的案件</w:t>
      </w:r>
      <w:r w:rsidR="008E7B29" w:rsidRPr="005661DE">
        <w:rPr>
          <w:rFonts w:hint="eastAsia"/>
        </w:rPr>
        <w:t>中使用</w:t>
      </w:r>
      <w:r w:rsidR="009E688C" w:rsidRPr="005661DE">
        <w:rPr>
          <w:rFonts w:hint="eastAsia"/>
        </w:rPr>
        <w:t>。在该程序中，检察官享有较大的裁量权，可以根据</w:t>
      </w:r>
      <w:r w:rsidR="009E688C" w:rsidRPr="005661DE">
        <w:rPr>
          <w:rFonts w:hint="eastAsia"/>
        </w:rPr>
        <w:lastRenderedPageBreak/>
        <w:t>案件情况提出量刑建议。但法律也设置了相应的限制，在检察官提出量刑建议后，被告人需在十日内作出是否接受量刑建议的决定</w:t>
      </w:r>
      <w:r w:rsidR="0088749A" w:rsidRPr="005661DE">
        <w:rPr>
          <w:rFonts w:hint="eastAsia"/>
        </w:rPr>
        <w:t>。如被告人不接受量刑建议，则</w:t>
      </w:r>
      <w:r w:rsidR="009E688C" w:rsidRPr="005661DE">
        <w:rPr>
          <w:rFonts w:hint="eastAsia"/>
        </w:rPr>
        <w:t>认罪协商程序</w:t>
      </w:r>
      <w:r w:rsidR="0088749A" w:rsidRPr="005661DE">
        <w:rPr>
          <w:rFonts w:hint="eastAsia"/>
        </w:rPr>
        <w:t>终结，检察机关</w:t>
      </w:r>
      <w:r w:rsidR="008E7B29" w:rsidRPr="005661DE">
        <w:rPr>
          <w:rFonts w:hint="eastAsia"/>
        </w:rPr>
        <w:t>按照普通的公诉程序向法院提起诉讼，被告人在庭前认罪协商程序中所做的陈述等失去效力</w:t>
      </w:r>
      <w:r w:rsidR="009E688C" w:rsidRPr="005661DE">
        <w:rPr>
          <w:rFonts w:hint="eastAsia"/>
        </w:rPr>
        <w:t>，将不得作为证据移送至审判庭；如被告人</w:t>
      </w:r>
      <w:r w:rsidR="008E7B29" w:rsidRPr="005661DE">
        <w:rPr>
          <w:rFonts w:hint="eastAsia"/>
        </w:rPr>
        <w:t>选择</w:t>
      </w:r>
      <w:r w:rsidR="0088749A" w:rsidRPr="005661DE">
        <w:rPr>
          <w:rFonts w:hint="eastAsia"/>
        </w:rPr>
        <w:t>接受</w:t>
      </w:r>
      <w:r w:rsidR="00582665" w:rsidRPr="005661DE">
        <w:rPr>
          <w:rFonts w:hint="eastAsia"/>
        </w:rPr>
        <w:t>，则庭前认罪协商程序进入法官核查</w:t>
      </w:r>
      <w:r w:rsidR="00B83F62" w:rsidRPr="005661DE">
        <w:rPr>
          <w:rFonts w:hint="eastAsia"/>
        </w:rPr>
        <w:t>阶段，法官从案件事实</w:t>
      </w:r>
      <w:r w:rsidR="00582665" w:rsidRPr="005661DE">
        <w:rPr>
          <w:rFonts w:hint="eastAsia"/>
        </w:rPr>
        <w:t>的</w:t>
      </w:r>
      <w:r w:rsidR="00B83F62" w:rsidRPr="005661DE">
        <w:rPr>
          <w:rFonts w:hint="eastAsia"/>
        </w:rPr>
        <w:t>切实</w:t>
      </w:r>
      <w:r w:rsidR="00582665" w:rsidRPr="005661DE">
        <w:rPr>
          <w:rFonts w:hint="eastAsia"/>
        </w:rPr>
        <w:t>性</w:t>
      </w:r>
      <w:r w:rsidR="009E688C" w:rsidRPr="005661DE">
        <w:rPr>
          <w:rFonts w:hint="eastAsia"/>
        </w:rPr>
        <w:t>、量刑建议的合理性、</w:t>
      </w:r>
      <w:r w:rsidR="00582665" w:rsidRPr="005661DE">
        <w:rPr>
          <w:rFonts w:hint="eastAsia"/>
        </w:rPr>
        <w:t>庭前认罪协商程序运行是否公平三个方面对控辩双方达成的量刑进行复核</w:t>
      </w:r>
      <w:r w:rsidR="009E688C" w:rsidRPr="005661DE">
        <w:rPr>
          <w:rFonts w:hint="eastAsia"/>
        </w:rPr>
        <w:t>。</w:t>
      </w:r>
    </w:p>
    <w:p w14:paraId="34778274" w14:textId="77777777" w:rsidR="009E688C" w:rsidRPr="005661DE" w:rsidRDefault="009E688C" w:rsidP="008C2522">
      <w:pPr>
        <w:pStyle w:val="3"/>
        <w:snapToGrid w:val="0"/>
      </w:pPr>
      <w:r w:rsidRPr="005661DE">
        <w:t>4.</w:t>
      </w:r>
      <w:r w:rsidRPr="005661DE">
        <w:rPr>
          <w:rFonts w:hint="eastAsia"/>
        </w:rPr>
        <w:t>德国刑事协商程序的量刑建议权</w:t>
      </w:r>
    </w:p>
    <w:p w14:paraId="67D46844" w14:textId="77777777" w:rsidR="009E688C" w:rsidRPr="005661DE" w:rsidRDefault="009E688C" w:rsidP="000B2344">
      <w:pPr>
        <w:snapToGrid w:val="0"/>
        <w:spacing w:line="300" w:lineRule="auto"/>
      </w:pPr>
      <w:r w:rsidRPr="005661DE">
        <w:rPr>
          <w:rFonts w:hint="eastAsia"/>
        </w:rPr>
        <w:t>作为大陆法系的典型代表，德国的认罪认罚从宽制度主要是指刑事协商制度。“所谓刑事协商，便是以‘认罪交换减刑’，由法院、检察院和被告人进行私下协调，通过形成合意尽快形成司法判决，以在短时间内了结刑事诉讼。”</w:t>
      </w:r>
      <w:r w:rsidRPr="006146D6">
        <w:rPr>
          <w:vertAlign w:val="superscript"/>
        </w:rPr>
        <w:footnoteReference w:id="15"/>
      </w:r>
      <w:r w:rsidR="00F40539">
        <w:rPr>
          <w:rFonts w:hint="eastAsia"/>
        </w:rPr>
        <w:t>《德国刑事诉讼法》</w:t>
      </w:r>
      <w:r w:rsidR="000B2344">
        <w:rPr>
          <w:rFonts w:hint="eastAsia"/>
        </w:rPr>
        <w:t>第</w:t>
      </w:r>
      <w:r w:rsidR="00F40539">
        <w:rPr>
          <w:rFonts w:hint="eastAsia"/>
        </w:rPr>
        <w:t>407</w:t>
      </w:r>
      <w:r w:rsidR="00F40539">
        <w:rPr>
          <w:rFonts w:hint="eastAsia"/>
        </w:rPr>
        <w:t>条赋予了</w:t>
      </w:r>
      <w:r w:rsidR="000B2344">
        <w:rPr>
          <w:rFonts w:hint="eastAsia"/>
        </w:rPr>
        <w:t>在处罚令程序中</w:t>
      </w:r>
      <w:r w:rsidR="00F40539">
        <w:rPr>
          <w:rFonts w:hint="eastAsia"/>
        </w:rPr>
        <w:t>检察官</w:t>
      </w:r>
      <w:r w:rsidR="000B2344">
        <w:rPr>
          <w:rFonts w:hint="eastAsia"/>
        </w:rPr>
        <w:t>提出</w:t>
      </w:r>
      <w:r w:rsidR="00F40539">
        <w:rPr>
          <w:rFonts w:hint="eastAsia"/>
        </w:rPr>
        <w:t>量刑建议的权利。</w:t>
      </w:r>
      <w:r w:rsidR="00F40539" w:rsidRPr="005661DE">
        <w:rPr>
          <w:rFonts w:hint="eastAsia"/>
        </w:rPr>
        <w:t>即在轻罪案件中，允许检察官以书面形式提出量刑建议，根据提交的申请，法官或陪审法庭无需进行审判程序而直接以书面处罚令的形式确定被告人的</w:t>
      </w:r>
      <w:r w:rsidR="00F40539">
        <w:rPr>
          <w:rFonts w:hint="eastAsia"/>
        </w:rPr>
        <w:t>处罚。</w:t>
      </w:r>
      <w:r w:rsidR="00C54F92">
        <w:rPr>
          <w:rFonts w:hint="eastAsia"/>
        </w:rPr>
        <w:t>除</w:t>
      </w:r>
      <w:r w:rsidR="000B2344">
        <w:rPr>
          <w:rFonts w:hint="eastAsia"/>
        </w:rPr>
        <w:t>处罚令程序以</w:t>
      </w:r>
      <w:r w:rsidR="00C54F92" w:rsidRPr="00C54F92">
        <w:t>外，德国检察官同辩护方可能还会就</w:t>
      </w:r>
      <w:r w:rsidR="00C54F92" w:rsidRPr="00C54F92">
        <w:t>“</w:t>
      </w:r>
      <w:r w:rsidR="00C54F92" w:rsidRPr="00C54F92">
        <w:t>量刑</w:t>
      </w:r>
      <w:r w:rsidR="00C54F92" w:rsidRPr="00C54F92">
        <w:t>”</w:t>
      </w:r>
      <w:r w:rsidR="00C54F92" w:rsidRPr="00C54F92">
        <w:t>进行协商，协商的主要方式类似于英美法系的</w:t>
      </w:r>
      <w:r w:rsidR="00C54F92" w:rsidRPr="00C54F92">
        <w:t>“</w:t>
      </w:r>
      <w:r w:rsidR="00C54F92" w:rsidRPr="00C54F92">
        <w:t>减轻指控</w:t>
      </w:r>
      <w:r w:rsidR="00C54F92" w:rsidRPr="00C54F92">
        <w:t>”</w:t>
      </w:r>
      <w:r w:rsidR="00C54F92" w:rsidRPr="00C54F92">
        <w:t>协商。当被告人表示认罪，检察官会把罪名从量刑较高的级别降到量刑较低的级别，从而使被告人可能获得较轻的刑罚。</w:t>
      </w:r>
      <w:r w:rsidR="000B2344" w:rsidRPr="000B2344">
        <w:t>但是在德国，检察官对量刑的协商权受到严格限制，因为一</w:t>
      </w:r>
      <w:r w:rsidR="0005369B">
        <w:t>旦开启正式审判程序，法官对被告人罪名的认定不受检察官的限制。同检察官可以直接决定结果</w:t>
      </w:r>
      <w:r w:rsidR="0005369B">
        <w:rPr>
          <w:rFonts w:hint="eastAsia"/>
        </w:rPr>
        <w:t>的</w:t>
      </w:r>
      <w:r w:rsidR="000B2344" w:rsidRPr="000B2344">
        <w:t>处罚令</w:t>
      </w:r>
      <w:r w:rsidR="0005369B">
        <w:rPr>
          <w:rFonts w:hint="eastAsia"/>
        </w:rPr>
        <w:t>程序</w:t>
      </w:r>
      <w:r w:rsidR="000B2344" w:rsidRPr="000B2344">
        <w:t>不同，量刑要受到法官的牵制。因此，量刑协商实际上主要发生在法官和辩护方之间。</w:t>
      </w:r>
    </w:p>
    <w:p w14:paraId="5AB0E785" w14:textId="77777777" w:rsidR="009E688C" w:rsidRPr="005661DE" w:rsidRDefault="009E688C" w:rsidP="008C2522">
      <w:pPr>
        <w:pStyle w:val="2"/>
        <w:snapToGrid w:val="0"/>
      </w:pPr>
      <w:bookmarkStart w:id="26" w:name="_Toc36842049"/>
      <w:bookmarkStart w:id="27" w:name="_Toc36844721"/>
      <w:r w:rsidRPr="005661DE">
        <w:rPr>
          <w:rFonts w:hint="eastAsia"/>
        </w:rPr>
        <w:t>（二）域外量刑建议权之构成</w:t>
      </w:r>
      <w:bookmarkEnd w:id="26"/>
      <w:bookmarkEnd w:id="27"/>
    </w:p>
    <w:p w14:paraId="4FAECBF5" w14:textId="77777777" w:rsidR="009E688C" w:rsidRPr="005661DE" w:rsidRDefault="009E688C" w:rsidP="008C2522">
      <w:pPr>
        <w:pStyle w:val="3"/>
        <w:snapToGrid w:val="0"/>
      </w:pPr>
      <w:r w:rsidRPr="005661DE">
        <w:t>1.</w:t>
      </w:r>
      <w:r w:rsidRPr="005661DE">
        <w:rPr>
          <w:rFonts w:hint="eastAsia"/>
        </w:rPr>
        <w:t>量刑建议的主体</w:t>
      </w:r>
    </w:p>
    <w:p w14:paraId="7FD34C65" w14:textId="77777777" w:rsidR="009E688C" w:rsidRPr="005661DE" w:rsidRDefault="009E688C" w:rsidP="008C2522">
      <w:pPr>
        <w:snapToGrid w:val="0"/>
        <w:spacing w:line="300" w:lineRule="auto"/>
      </w:pPr>
      <w:r w:rsidRPr="005661DE">
        <w:rPr>
          <w:rFonts w:hint="eastAsia"/>
        </w:rPr>
        <w:t>从上述国家的量刑建议制度可以看出，两大法系的检察官普遍可以提出量刑建议，并且在体系中</w:t>
      </w:r>
      <w:r w:rsidR="0005369B">
        <w:rPr>
          <w:rFonts w:hint="eastAsia"/>
        </w:rPr>
        <w:t>大多</w:t>
      </w:r>
      <w:r w:rsidRPr="005661DE">
        <w:rPr>
          <w:rFonts w:hint="eastAsia"/>
        </w:rPr>
        <w:t>占据主导地位</w:t>
      </w:r>
      <w:r w:rsidR="0005369B">
        <w:rPr>
          <w:rFonts w:hint="eastAsia"/>
        </w:rPr>
        <w:t>，但均受到不同程度的制约</w:t>
      </w:r>
      <w:r w:rsidRPr="005661DE">
        <w:rPr>
          <w:rFonts w:hint="eastAsia"/>
        </w:rPr>
        <w:t>。在英美法系中，各国</w:t>
      </w:r>
      <w:r w:rsidR="002E4EF5" w:rsidRPr="005661DE">
        <w:rPr>
          <w:rFonts w:hint="eastAsia"/>
        </w:rPr>
        <w:t>对于量刑建议的主体</w:t>
      </w:r>
      <w:r w:rsidRPr="005661DE">
        <w:rPr>
          <w:rFonts w:hint="eastAsia"/>
        </w:rPr>
        <w:t>在实践中存在较大的差异，不同的主体能够根据案件需要向法庭提出量刑建议。例如，</w:t>
      </w:r>
      <w:r w:rsidR="007D32D6" w:rsidRPr="005661DE">
        <w:rPr>
          <w:rFonts w:hint="eastAsia"/>
        </w:rPr>
        <w:t>英国的缓刑官可以在调查后提出是否适用缓刑的</w:t>
      </w:r>
      <w:r w:rsidRPr="005661DE">
        <w:rPr>
          <w:rFonts w:hint="eastAsia"/>
        </w:rPr>
        <w:t>建议。在美国的死刑案件中，陪审团也可以提出量刑建议。</w:t>
      </w:r>
    </w:p>
    <w:p w14:paraId="6826A916" w14:textId="77777777" w:rsidR="009E688C" w:rsidRPr="005661DE" w:rsidRDefault="009E688C" w:rsidP="008C2522">
      <w:pPr>
        <w:pStyle w:val="3"/>
        <w:snapToGrid w:val="0"/>
      </w:pPr>
      <w:r w:rsidRPr="005661DE">
        <w:t>2.</w:t>
      </w:r>
      <w:r w:rsidRPr="005661DE">
        <w:rPr>
          <w:rFonts w:hint="eastAsia"/>
        </w:rPr>
        <w:t>量刑建议的模式</w:t>
      </w:r>
    </w:p>
    <w:p w14:paraId="2E31AE80" w14:textId="77777777" w:rsidR="009E688C" w:rsidRPr="005661DE" w:rsidRDefault="009E688C" w:rsidP="008C2522">
      <w:pPr>
        <w:snapToGrid w:val="0"/>
        <w:spacing w:line="300" w:lineRule="auto"/>
      </w:pPr>
      <w:r w:rsidRPr="005661DE">
        <w:rPr>
          <w:rFonts w:hint="eastAsia"/>
        </w:rPr>
        <w:t>两大法系的国家在选择量刑建议的模式上，既有幅度刑的量刑建议，也</w:t>
      </w:r>
      <w:r w:rsidR="00483506" w:rsidRPr="005661DE">
        <w:rPr>
          <w:rFonts w:hint="eastAsia"/>
        </w:rPr>
        <w:t>有具体的确定刑量刑建议。英国缓刑官对于缓刑类案件会提出明确</w:t>
      </w:r>
      <w:r w:rsidRPr="005661DE">
        <w:rPr>
          <w:rFonts w:hint="eastAsia"/>
        </w:rPr>
        <w:t>的量刑建议。</w:t>
      </w:r>
      <w:r w:rsidR="002B362E">
        <w:rPr>
          <w:rFonts w:hint="eastAsia"/>
        </w:rPr>
        <w:t>在美国，辩诉交易制度允许检察官提出减轻被告人处罚的具体量刑建议</w:t>
      </w:r>
      <w:r w:rsidRPr="005661DE">
        <w:rPr>
          <w:rFonts w:hint="eastAsia"/>
        </w:rPr>
        <w:t>。德国检察官根据案件需要，在庭前可以作出起诉或者不起诉的决定，针对被告人的具体案情，庭审时可以提出准确的或带有幅度的量刑建议。</w:t>
      </w:r>
    </w:p>
    <w:p w14:paraId="4300217E" w14:textId="77777777" w:rsidR="009E688C" w:rsidRPr="005661DE" w:rsidRDefault="009E688C" w:rsidP="008C2522">
      <w:pPr>
        <w:pStyle w:val="3"/>
        <w:snapToGrid w:val="0"/>
      </w:pPr>
      <w:r w:rsidRPr="005661DE">
        <w:t>3.</w:t>
      </w:r>
      <w:r w:rsidRPr="005661DE">
        <w:rPr>
          <w:rFonts w:hint="eastAsia"/>
        </w:rPr>
        <w:t>量刑建议的效力</w:t>
      </w:r>
    </w:p>
    <w:p w14:paraId="7711B311" w14:textId="77777777" w:rsidR="009E688C" w:rsidRPr="005661DE" w:rsidRDefault="009E688C" w:rsidP="008C2522">
      <w:pPr>
        <w:snapToGrid w:val="0"/>
        <w:spacing w:line="300" w:lineRule="auto"/>
      </w:pPr>
      <w:r w:rsidRPr="005661DE">
        <w:rPr>
          <w:rFonts w:hint="eastAsia"/>
        </w:rPr>
        <w:t>虽然在实践中，检察机关的量刑建议被法官采纳的比较多，但量刑建议不会对法官产生强制性的约束力，检察机关提出的量刑建议只是作为法官审判案件时对刑罚种类和从宽量刑幅度上的一种参考，不能侵犯法官独立行使审判权。两大法系中的各国法律均明确确定，定罪量刑作为法官的专有权力只能由法官独立行使。检察官行使的量刑建议权，属于意见性范畴，没有当然的约束力。</w:t>
      </w:r>
    </w:p>
    <w:p w14:paraId="7D0F7A46" w14:textId="77777777" w:rsidR="009E688C" w:rsidRPr="005661DE" w:rsidRDefault="009E688C" w:rsidP="008C2522">
      <w:pPr>
        <w:pStyle w:val="3"/>
        <w:snapToGrid w:val="0"/>
      </w:pPr>
      <w:r w:rsidRPr="005661DE">
        <w:lastRenderedPageBreak/>
        <w:t>4.</w:t>
      </w:r>
      <w:r w:rsidRPr="005661DE">
        <w:rPr>
          <w:rFonts w:hint="eastAsia"/>
        </w:rPr>
        <w:t>量刑建议权的监督制约</w:t>
      </w:r>
    </w:p>
    <w:p w14:paraId="55D2CD3C" w14:textId="77777777" w:rsidR="009E688C" w:rsidRPr="005661DE" w:rsidRDefault="009E688C" w:rsidP="008C2522">
      <w:pPr>
        <w:snapToGrid w:val="0"/>
        <w:spacing w:line="300" w:lineRule="auto"/>
      </w:pPr>
      <w:r w:rsidRPr="005661DE">
        <w:rPr>
          <w:rFonts w:hint="eastAsia"/>
        </w:rPr>
        <w:t>不同法系检察机关行使量刑建议的权力大小不同，但各国为规范量刑建议活动，均设置了相应的监督机制。即使是最具有“交易”色彩的辩诉交易制度，同样设计了罪状认否程序，用于审查检察官与被告人协商的量刑结果，将控辩双方的量刑过程予以透明化并保障被告人认罪的真实性，从而对量刑建议活动的进行监督。</w:t>
      </w:r>
      <w:r w:rsidR="006C36D1" w:rsidRPr="005661DE">
        <w:rPr>
          <w:rFonts w:hint="eastAsia"/>
        </w:rPr>
        <w:t>庭审过程中中，法官通过审查、询问等方式，</w:t>
      </w:r>
      <w:r w:rsidR="00DD5A94" w:rsidRPr="005661DE">
        <w:rPr>
          <w:rFonts w:hint="eastAsia"/>
        </w:rPr>
        <w:t>将仅在公诉人与被告方间进行的量刑协商过程展现</w:t>
      </w:r>
      <w:r w:rsidRPr="005661DE">
        <w:rPr>
          <w:rFonts w:hint="eastAsia"/>
        </w:rPr>
        <w:t>在法庭</w:t>
      </w:r>
      <w:r w:rsidR="00DD5A94" w:rsidRPr="005661DE">
        <w:rPr>
          <w:rFonts w:hint="eastAsia"/>
        </w:rPr>
        <w:t>之</w:t>
      </w:r>
      <w:r w:rsidR="006C36D1" w:rsidRPr="005661DE">
        <w:rPr>
          <w:rFonts w:hint="eastAsia"/>
        </w:rPr>
        <w:t>上，同时</w:t>
      </w:r>
      <w:r w:rsidR="009354CD" w:rsidRPr="005661DE">
        <w:rPr>
          <w:rFonts w:hint="eastAsia"/>
        </w:rPr>
        <w:t>也给予被告人再一次的考虑机会，重新选择是否接受协商结果，确保被告人的选择是经过理性抉择后真实意愿的表达。</w:t>
      </w:r>
    </w:p>
    <w:p w14:paraId="13184FBD" w14:textId="77777777" w:rsidR="009E688C" w:rsidRPr="005661DE" w:rsidRDefault="009E688C" w:rsidP="008C2522">
      <w:pPr>
        <w:pStyle w:val="2"/>
        <w:snapToGrid w:val="0"/>
      </w:pPr>
      <w:bookmarkStart w:id="28" w:name="_Toc36842050"/>
      <w:bookmarkStart w:id="29" w:name="_Toc36844722"/>
      <w:r w:rsidRPr="005661DE">
        <w:rPr>
          <w:rFonts w:hint="eastAsia"/>
        </w:rPr>
        <w:t>（三）域外量刑建议权之借鉴</w:t>
      </w:r>
      <w:bookmarkEnd w:id="28"/>
      <w:bookmarkEnd w:id="29"/>
    </w:p>
    <w:p w14:paraId="26B7D071" w14:textId="77777777" w:rsidR="009E688C" w:rsidRPr="005661DE" w:rsidRDefault="009E688C" w:rsidP="008C2522">
      <w:pPr>
        <w:pStyle w:val="3"/>
        <w:snapToGrid w:val="0"/>
      </w:pPr>
      <w:r w:rsidRPr="005661DE">
        <w:t>1.</w:t>
      </w:r>
      <w:r w:rsidRPr="005661DE">
        <w:rPr>
          <w:rFonts w:hint="eastAsia"/>
        </w:rPr>
        <w:t>坚持审判中心主义，以平衡检察官的量刑建议权和法官的定罪量刑权</w:t>
      </w:r>
    </w:p>
    <w:p w14:paraId="74C43D2A" w14:textId="77777777" w:rsidR="009E688C" w:rsidRPr="005661DE" w:rsidRDefault="009E688C" w:rsidP="008C2522">
      <w:pPr>
        <w:snapToGrid w:val="0"/>
        <w:spacing w:line="300" w:lineRule="auto"/>
      </w:pPr>
      <w:r w:rsidRPr="005661DE">
        <w:rPr>
          <w:rFonts w:hint="eastAsia"/>
        </w:rPr>
        <w:t>检察机关提出的量刑建议最终得到法庭认可的前提是合法性和适当性，即满足符合法律规定的量刑原则和从宽规则，同时考虑被告人的具体情况，结合犯罪结果、被告人的负担能力等因素，作出罪责一致的量刑建议。检察官行使量刑建议权时应加以严格规范，对从宽量刑提出相应的证据加以说明。在被告人认罪认罚的情况下，量刑活动仍然要以事实为依据，以法律为准绳，法官</w:t>
      </w:r>
      <w:r w:rsidR="00DD5A94" w:rsidRPr="005661DE">
        <w:rPr>
          <w:rFonts w:hint="eastAsia"/>
        </w:rPr>
        <w:t>不得因被告人认罪认罚而省去审查证据、查清事实等过程，而使自己处于被动接受控辩双方协商结果的地步</w:t>
      </w:r>
      <w:r w:rsidRPr="005661DE">
        <w:rPr>
          <w:rFonts w:hint="eastAsia"/>
        </w:rPr>
        <w:t>。</w:t>
      </w:r>
      <w:r w:rsidR="003601F6" w:rsidRPr="005661DE">
        <w:rPr>
          <w:rFonts w:hint="eastAsia"/>
        </w:rPr>
        <w:t>在职权主义与“</w:t>
      </w:r>
      <w:r w:rsidRPr="005661DE">
        <w:rPr>
          <w:rFonts w:hint="eastAsia"/>
        </w:rPr>
        <w:t>审判中心主义</w:t>
      </w:r>
      <w:r w:rsidR="003601F6" w:rsidRPr="005661DE">
        <w:rPr>
          <w:rFonts w:hint="eastAsia"/>
        </w:rPr>
        <w:t>”</w:t>
      </w:r>
      <w:r w:rsidR="0025626D">
        <w:rPr>
          <w:rFonts w:hint="eastAsia"/>
        </w:rPr>
        <w:t>相结合的</w:t>
      </w:r>
      <w:r w:rsidRPr="005661DE">
        <w:rPr>
          <w:rFonts w:hint="eastAsia"/>
        </w:rPr>
        <w:t>刑事诉讼</w:t>
      </w:r>
      <w:r w:rsidR="0025626D">
        <w:rPr>
          <w:rFonts w:hint="eastAsia"/>
        </w:rPr>
        <w:t>模式构造下，在庭审活动</w:t>
      </w:r>
      <w:r w:rsidRPr="005661DE">
        <w:rPr>
          <w:rFonts w:hint="eastAsia"/>
        </w:rPr>
        <w:t>中</w:t>
      </w:r>
      <w:r w:rsidR="003601F6" w:rsidRPr="005661DE">
        <w:rPr>
          <w:rFonts w:hint="eastAsia"/>
        </w:rPr>
        <w:t>法官</w:t>
      </w:r>
      <w:r w:rsidR="0025626D">
        <w:rPr>
          <w:rFonts w:hint="eastAsia"/>
        </w:rPr>
        <w:t>处于核心位置</w:t>
      </w:r>
      <w:r w:rsidR="003601F6" w:rsidRPr="005661DE">
        <w:rPr>
          <w:rFonts w:hint="eastAsia"/>
        </w:rPr>
        <w:t>并享有庭审的主动权，</w:t>
      </w:r>
      <w:r w:rsidR="008E3798" w:rsidRPr="005661DE">
        <w:rPr>
          <w:rFonts w:hint="eastAsia"/>
        </w:rPr>
        <w:t>其地位与权力不能因</w:t>
      </w:r>
      <w:r w:rsidRPr="005661DE">
        <w:rPr>
          <w:rFonts w:hint="eastAsia"/>
        </w:rPr>
        <w:t>控辩</w:t>
      </w:r>
      <w:r w:rsidR="008E3798" w:rsidRPr="005661DE">
        <w:rPr>
          <w:rFonts w:hint="eastAsia"/>
        </w:rPr>
        <w:t>双方的</w:t>
      </w:r>
      <w:r w:rsidRPr="005661DE">
        <w:rPr>
          <w:rFonts w:hint="eastAsia"/>
        </w:rPr>
        <w:t>协商</w:t>
      </w:r>
      <w:r w:rsidR="008E3798" w:rsidRPr="005661DE">
        <w:rPr>
          <w:rFonts w:hint="eastAsia"/>
        </w:rPr>
        <w:t>程序</w:t>
      </w:r>
      <w:r w:rsidR="00A92BCD" w:rsidRPr="005661DE">
        <w:rPr>
          <w:rFonts w:hint="eastAsia"/>
        </w:rPr>
        <w:t>而侵吞</w:t>
      </w:r>
      <w:r w:rsidR="0025626D">
        <w:rPr>
          <w:rFonts w:hint="eastAsia"/>
        </w:rPr>
        <w:t>。</w:t>
      </w:r>
      <w:r w:rsidRPr="005661DE">
        <w:rPr>
          <w:rFonts w:hint="eastAsia"/>
        </w:rPr>
        <w:t>在认罪认罚从宽制度下，法官仍是案件的最终决定者，检察官的量刑建议并不能产生终局性的效果。我国现有的诉讼模式主要表现为法官主导庭审活动，如</w:t>
      </w:r>
      <w:r w:rsidR="00315097" w:rsidRPr="005661DE">
        <w:rPr>
          <w:rFonts w:hint="eastAsia"/>
        </w:rPr>
        <w:t>因为被告人认罪认罚而</w:t>
      </w:r>
      <w:r w:rsidRPr="005661DE">
        <w:rPr>
          <w:rFonts w:hint="eastAsia"/>
        </w:rPr>
        <w:t>削弱了法官对案情调查的义务，将难以保证案件的质量。</w:t>
      </w:r>
    </w:p>
    <w:p w14:paraId="276B645A" w14:textId="77777777" w:rsidR="009E688C" w:rsidRPr="005661DE" w:rsidRDefault="009E688C" w:rsidP="008C2522">
      <w:pPr>
        <w:pStyle w:val="3"/>
        <w:snapToGrid w:val="0"/>
      </w:pPr>
      <w:r w:rsidRPr="005661DE">
        <w:t>2.</w:t>
      </w:r>
      <w:r w:rsidRPr="005661DE">
        <w:rPr>
          <w:rFonts w:hint="eastAsia"/>
        </w:rPr>
        <w:t>赋予被告人充分的诉讼权利，保障其认罪的真实性</w:t>
      </w:r>
    </w:p>
    <w:p w14:paraId="5DF5A058" w14:textId="77777777" w:rsidR="009E688C" w:rsidRPr="005661DE" w:rsidRDefault="009E688C" w:rsidP="008C2522">
      <w:pPr>
        <w:snapToGrid w:val="0"/>
        <w:spacing w:line="300" w:lineRule="auto"/>
      </w:pPr>
      <w:r w:rsidRPr="005661DE">
        <w:rPr>
          <w:rFonts w:hint="eastAsia"/>
        </w:rPr>
        <w:t>为保证公正审判，各国赋予了被告人诉讼初始的选择权，同时还确保他们在诉讼过程中否认有罪答辩、重新选择程序的权利。例如在美国，被告人已与检察官达成辩诉交易，但在法官审查量刑协商结果时，他仍然可以放弃已经达成的认罪协议而选择陪审团审判；在法国，在检察官提出量刑建议后，被告人有十天的考虑时间选择是否接受量刑建议，如否认则导致认罪协商程序的终止，检察官按照普通的程序向法院起诉。此处可得以借鉴，被告人可以自主决定是否认罪并启动相应的程序，有权撤回已经达成的认罪协商协议，实现认罪的真实性。</w:t>
      </w:r>
      <w:r w:rsidR="00BB1DA8" w:rsidRPr="005661DE">
        <w:rPr>
          <w:rFonts w:hint="eastAsia"/>
        </w:rPr>
        <w:t>很多人认为面对强大的检察机关，被告人选择使用辩诉交易制度时并不是真实意愿的表达，由此</w:t>
      </w:r>
      <w:r w:rsidRPr="005661DE">
        <w:rPr>
          <w:rFonts w:hint="eastAsia"/>
        </w:rPr>
        <w:t>反对辩诉交易</w:t>
      </w:r>
      <w:r w:rsidR="00BB1DA8" w:rsidRPr="005661DE">
        <w:rPr>
          <w:rFonts w:hint="eastAsia"/>
        </w:rPr>
        <w:t>制度</w:t>
      </w:r>
      <w:r w:rsidR="00A92BCD" w:rsidRPr="005661DE">
        <w:rPr>
          <w:rFonts w:hint="eastAsia"/>
        </w:rPr>
        <w:t>。这对于完善我国的量刑制度是值得注意的，检察机关行使量刑建议权时不能通过胁迫、强制等手段，造成</w:t>
      </w:r>
      <w:r w:rsidRPr="005661DE">
        <w:rPr>
          <w:rFonts w:hint="eastAsia"/>
        </w:rPr>
        <w:t>犯罪嫌疑人、被告人</w:t>
      </w:r>
      <w:r w:rsidR="00A92BCD" w:rsidRPr="005661DE">
        <w:rPr>
          <w:rFonts w:hint="eastAsia"/>
        </w:rPr>
        <w:t>对量刑结果产生巨大的心理压力。高压之下</w:t>
      </w:r>
      <w:r w:rsidRPr="005661DE">
        <w:rPr>
          <w:rFonts w:hint="eastAsia"/>
        </w:rPr>
        <w:t>他们</w:t>
      </w:r>
      <w:r w:rsidR="00A92BCD" w:rsidRPr="005661DE">
        <w:rPr>
          <w:rFonts w:hint="eastAsia"/>
        </w:rPr>
        <w:t>被迫只能选择</w:t>
      </w:r>
      <w:r w:rsidRPr="005661DE">
        <w:rPr>
          <w:rFonts w:hint="eastAsia"/>
        </w:rPr>
        <w:t>认罪认罚</w:t>
      </w:r>
      <w:r w:rsidR="00A92BCD" w:rsidRPr="005661DE">
        <w:rPr>
          <w:rFonts w:hint="eastAsia"/>
        </w:rPr>
        <w:t>，因而影响其认罪的自愿性和真实性。</w:t>
      </w:r>
    </w:p>
    <w:p w14:paraId="33152D08" w14:textId="77777777" w:rsidR="009E688C" w:rsidRPr="005661DE" w:rsidRDefault="009E688C" w:rsidP="008C2522">
      <w:pPr>
        <w:pStyle w:val="3"/>
        <w:snapToGrid w:val="0"/>
      </w:pPr>
      <w:r w:rsidRPr="005661DE">
        <w:t>3.</w:t>
      </w:r>
      <w:r w:rsidRPr="005661DE">
        <w:rPr>
          <w:rFonts w:hint="eastAsia"/>
        </w:rPr>
        <w:t>实现值班律师的有效参与，发挥其在量刑协商中的作用</w:t>
      </w:r>
    </w:p>
    <w:p w14:paraId="4E6D564F" w14:textId="77777777" w:rsidR="009E688C" w:rsidRPr="005661DE" w:rsidRDefault="009E688C" w:rsidP="008C2522">
      <w:pPr>
        <w:snapToGrid w:val="0"/>
        <w:spacing w:line="300" w:lineRule="auto"/>
      </w:pPr>
      <w:r w:rsidRPr="005661DE">
        <w:rPr>
          <w:rFonts w:hint="eastAsia"/>
        </w:rPr>
        <w:t>在认罪认罚从宽的案件中，面对精通法律的法官和检察官，被告人很有可能因自己法律知识匮乏而不能维护自己的合法权益，此时就需要辩护律师的协助。</w:t>
      </w:r>
      <w:r w:rsidR="004B249F" w:rsidRPr="005661DE">
        <w:rPr>
          <w:rFonts w:hint="eastAsia"/>
        </w:rPr>
        <w:t>有学者通过研究大量的</w:t>
      </w:r>
      <w:r w:rsidR="008B093D" w:rsidRPr="005661DE">
        <w:rPr>
          <w:rFonts w:hint="eastAsia"/>
        </w:rPr>
        <w:t>案件后指出</w:t>
      </w:r>
      <w:r w:rsidR="004B249F" w:rsidRPr="005661DE">
        <w:rPr>
          <w:rFonts w:hint="eastAsia"/>
        </w:rPr>
        <w:t>，虽然犯罪嫌疑人在名义上拥有认罪与否的</w:t>
      </w:r>
      <w:r w:rsidRPr="005661DE">
        <w:rPr>
          <w:rFonts w:hint="eastAsia"/>
        </w:rPr>
        <w:t>权利，但</w:t>
      </w:r>
      <w:r w:rsidR="004B249F" w:rsidRPr="005661DE">
        <w:rPr>
          <w:rFonts w:hint="eastAsia"/>
        </w:rPr>
        <w:t>实际上在没有律师等辩护人等提供法律帮助</w:t>
      </w:r>
      <w:r w:rsidR="008B093D" w:rsidRPr="005661DE">
        <w:rPr>
          <w:rFonts w:hint="eastAsia"/>
        </w:rPr>
        <w:t>的情况下，他们没有受到任何实质性的保护</w:t>
      </w:r>
      <w:r w:rsidRPr="005661DE">
        <w:rPr>
          <w:rFonts w:hint="eastAsia"/>
        </w:rPr>
        <w:t>。</w:t>
      </w:r>
      <w:r w:rsidRPr="006146D6">
        <w:rPr>
          <w:vertAlign w:val="superscript"/>
        </w:rPr>
        <w:footnoteReference w:id="16"/>
      </w:r>
      <w:r w:rsidR="00D84B2C" w:rsidRPr="005661DE">
        <w:rPr>
          <w:rFonts w:hint="eastAsia"/>
        </w:rPr>
        <w:t>在美国的法庭审理过程中，律师之于被告一方有着非常重要的作用。美国的认罪协商程序能够顺利运作，离不开律师与检察官在庭前的积极磋商。</w:t>
      </w:r>
      <w:r w:rsidRPr="005661DE">
        <w:rPr>
          <w:rFonts w:hint="eastAsia"/>
        </w:rPr>
        <w:t>在我国认罪认罚从宽制度下，值班律师的需求在上升，但如何界</w:t>
      </w:r>
      <w:r w:rsidRPr="005661DE">
        <w:rPr>
          <w:rFonts w:hint="eastAsia"/>
        </w:rPr>
        <w:lastRenderedPageBreak/>
        <w:t>定值班律师的法律地位及量刑协商中的作用期待破题。</w:t>
      </w:r>
    </w:p>
    <w:p w14:paraId="5394FCB3" w14:textId="77777777" w:rsidR="009E688C" w:rsidRPr="005661DE" w:rsidRDefault="009E688C" w:rsidP="008C2522">
      <w:pPr>
        <w:pStyle w:val="3"/>
        <w:snapToGrid w:val="0"/>
      </w:pPr>
      <w:r w:rsidRPr="005661DE">
        <w:t>4.</w:t>
      </w:r>
      <w:r w:rsidRPr="005661DE">
        <w:rPr>
          <w:rFonts w:hint="eastAsia"/>
        </w:rPr>
        <w:t>建立协商失效规则，保证制度合理运行</w:t>
      </w:r>
    </w:p>
    <w:p w14:paraId="15AF3D5D" w14:textId="77777777" w:rsidR="009E688C" w:rsidRPr="005661DE" w:rsidRDefault="009E688C" w:rsidP="008C2522">
      <w:pPr>
        <w:snapToGrid w:val="0"/>
        <w:spacing w:line="300" w:lineRule="auto"/>
      </w:pPr>
      <w:r w:rsidRPr="005661DE">
        <w:rPr>
          <w:rFonts w:hint="eastAsia"/>
        </w:rPr>
        <w:t>被告人与检察官的协商过程不可能是一帆风顺的，已经达成的量刑协商结果可能因被告人的反悔而失效。在法国，被告人因否认检察官的量刑建议，其在庭前认罪协商程序中的陈述将失去效力。在我国刑事诉讼中，如果协商失败后，在协商过程中被告人的陈述、因陈述获得的实物类证据是否具有法律效力</w:t>
      </w:r>
      <w:r w:rsidR="00315097" w:rsidRPr="005661DE">
        <w:rPr>
          <w:rFonts w:hint="eastAsia"/>
        </w:rPr>
        <w:t>，能</w:t>
      </w:r>
      <w:r w:rsidRPr="005661DE">
        <w:rPr>
          <w:rFonts w:hint="eastAsia"/>
        </w:rPr>
        <w:t>否在庭审中作为证据使用，法律没有明确的规定。从实践看，如果被告人的供述和因供述获得的其他物证、书证形成完整的证据链，在现行法律规定下是可以认定被告人有罪和判处刑罚的。但是如果不能建立量刑协商失效后的补救规定，长此以往可能会产生恶意量刑协商为套取证据的情况，这势必会影响检察官与被告人协商程序的正常运行。</w:t>
      </w:r>
    </w:p>
    <w:p w14:paraId="7ED1E68F" w14:textId="77777777" w:rsidR="009E688C" w:rsidRDefault="009E688C" w:rsidP="008C2522">
      <w:pPr>
        <w:snapToGrid w:val="0"/>
        <w:spacing w:line="300" w:lineRule="auto"/>
      </w:pPr>
    </w:p>
    <w:p w14:paraId="2DFD3DF2" w14:textId="77777777" w:rsidR="00244D89" w:rsidRDefault="00244D89" w:rsidP="008C2522">
      <w:pPr>
        <w:snapToGrid w:val="0"/>
        <w:spacing w:line="300" w:lineRule="auto"/>
      </w:pPr>
    </w:p>
    <w:p w14:paraId="673E4421" w14:textId="77777777" w:rsidR="00244D89" w:rsidRDefault="00244D89" w:rsidP="008C2522">
      <w:pPr>
        <w:snapToGrid w:val="0"/>
        <w:spacing w:line="300" w:lineRule="auto"/>
      </w:pPr>
    </w:p>
    <w:p w14:paraId="5AC8904F" w14:textId="77777777" w:rsidR="00244D89" w:rsidRDefault="00244D89" w:rsidP="008C2522">
      <w:pPr>
        <w:snapToGrid w:val="0"/>
        <w:spacing w:line="300" w:lineRule="auto"/>
      </w:pPr>
    </w:p>
    <w:p w14:paraId="5B551D3C" w14:textId="77777777" w:rsidR="00244D89" w:rsidRDefault="00244D89" w:rsidP="008C2522">
      <w:pPr>
        <w:snapToGrid w:val="0"/>
        <w:spacing w:line="300" w:lineRule="auto"/>
      </w:pPr>
    </w:p>
    <w:p w14:paraId="6B4F6E45" w14:textId="77777777" w:rsidR="00244D89" w:rsidRDefault="00244D89" w:rsidP="008C2522">
      <w:pPr>
        <w:snapToGrid w:val="0"/>
        <w:spacing w:line="300" w:lineRule="auto"/>
      </w:pPr>
    </w:p>
    <w:p w14:paraId="61464759" w14:textId="77777777" w:rsidR="00244D89" w:rsidRDefault="00244D89" w:rsidP="008C2522">
      <w:pPr>
        <w:snapToGrid w:val="0"/>
        <w:spacing w:line="300" w:lineRule="auto"/>
      </w:pPr>
    </w:p>
    <w:p w14:paraId="602C0BF4" w14:textId="77777777" w:rsidR="00244D89" w:rsidRDefault="00244D89" w:rsidP="008C2522">
      <w:pPr>
        <w:snapToGrid w:val="0"/>
        <w:spacing w:line="300" w:lineRule="auto"/>
      </w:pPr>
    </w:p>
    <w:p w14:paraId="14D37BB1" w14:textId="77777777" w:rsidR="00244D89" w:rsidRDefault="00244D89" w:rsidP="008C2522">
      <w:pPr>
        <w:snapToGrid w:val="0"/>
        <w:spacing w:line="300" w:lineRule="auto"/>
      </w:pPr>
    </w:p>
    <w:p w14:paraId="103CE5EF" w14:textId="77777777" w:rsidR="00244D89" w:rsidRDefault="00244D89" w:rsidP="008C2522">
      <w:pPr>
        <w:snapToGrid w:val="0"/>
        <w:spacing w:line="300" w:lineRule="auto"/>
      </w:pPr>
    </w:p>
    <w:p w14:paraId="0B4DB0E2" w14:textId="77777777" w:rsidR="00244D89" w:rsidRDefault="00244D89" w:rsidP="008C2522">
      <w:pPr>
        <w:snapToGrid w:val="0"/>
        <w:spacing w:line="300" w:lineRule="auto"/>
      </w:pPr>
    </w:p>
    <w:p w14:paraId="3E878446" w14:textId="77777777" w:rsidR="00244D89" w:rsidRDefault="00244D89" w:rsidP="008C2522">
      <w:pPr>
        <w:snapToGrid w:val="0"/>
        <w:spacing w:line="300" w:lineRule="auto"/>
      </w:pPr>
    </w:p>
    <w:p w14:paraId="6FEA57C7" w14:textId="77777777" w:rsidR="00244D89" w:rsidRDefault="00244D89" w:rsidP="008C2522">
      <w:pPr>
        <w:snapToGrid w:val="0"/>
        <w:spacing w:line="300" w:lineRule="auto"/>
      </w:pPr>
    </w:p>
    <w:p w14:paraId="0C367225" w14:textId="77777777" w:rsidR="00244D89" w:rsidRDefault="00244D89" w:rsidP="008C2522">
      <w:pPr>
        <w:snapToGrid w:val="0"/>
        <w:spacing w:line="300" w:lineRule="auto"/>
      </w:pPr>
    </w:p>
    <w:p w14:paraId="1FC5AADE" w14:textId="77777777" w:rsidR="00244D89" w:rsidRDefault="00244D89" w:rsidP="008C2522">
      <w:pPr>
        <w:snapToGrid w:val="0"/>
        <w:spacing w:line="300" w:lineRule="auto"/>
      </w:pPr>
    </w:p>
    <w:p w14:paraId="7D38CDAD" w14:textId="77777777" w:rsidR="00244D89" w:rsidRDefault="00244D89" w:rsidP="008C2522">
      <w:pPr>
        <w:snapToGrid w:val="0"/>
        <w:spacing w:line="300" w:lineRule="auto"/>
      </w:pPr>
    </w:p>
    <w:p w14:paraId="07376D8C" w14:textId="77777777" w:rsidR="00244D89" w:rsidRDefault="00244D89" w:rsidP="008C2522">
      <w:pPr>
        <w:snapToGrid w:val="0"/>
        <w:spacing w:line="300" w:lineRule="auto"/>
      </w:pPr>
    </w:p>
    <w:p w14:paraId="74724589" w14:textId="77777777" w:rsidR="00244D89" w:rsidRDefault="00244D89" w:rsidP="008C2522">
      <w:pPr>
        <w:snapToGrid w:val="0"/>
        <w:spacing w:line="300" w:lineRule="auto"/>
      </w:pPr>
    </w:p>
    <w:p w14:paraId="5EE28304" w14:textId="77777777" w:rsidR="00244D89" w:rsidRDefault="00244D89" w:rsidP="008C2522">
      <w:pPr>
        <w:snapToGrid w:val="0"/>
        <w:spacing w:line="300" w:lineRule="auto"/>
      </w:pPr>
    </w:p>
    <w:p w14:paraId="32C92006" w14:textId="77777777" w:rsidR="00244D89" w:rsidRDefault="00244D89" w:rsidP="008C2522">
      <w:pPr>
        <w:snapToGrid w:val="0"/>
        <w:spacing w:line="300" w:lineRule="auto"/>
      </w:pPr>
    </w:p>
    <w:p w14:paraId="68DE4B69" w14:textId="77777777" w:rsidR="00244D89" w:rsidRDefault="00244D89" w:rsidP="008C2522">
      <w:pPr>
        <w:snapToGrid w:val="0"/>
        <w:spacing w:line="300" w:lineRule="auto"/>
      </w:pPr>
    </w:p>
    <w:p w14:paraId="32FFF50E" w14:textId="77777777" w:rsidR="00244D89" w:rsidRDefault="00244D89" w:rsidP="008C2522">
      <w:pPr>
        <w:snapToGrid w:val="0"/>
        <w:spacing w:line="300" w:lineRule="auto"/>
      </w:pPr>
    </w:p>
    <w:p w14:paraId="2068E1DF" w14:textId="77777777" w:rsidR="00244D89" w:rsidRDefault="00244D89" w:rsidP="008C2522">
      <w:pPr>
        <w:snapToGrid w:val="0"/>
        <w:spacing w:line="300" w:lineRule="auto"/>
      </w:pPr>
    </w:p>
    <w:p w14:paraId="72ADDBEF" w14:textId="77777777" w:rsidR="00244D89" w:rsidRDefault="00244D89" w:rsidP="008C2522">
      <w:pPr>
        <w:snapToGrid w:val="0"/>
        <w:spacing w:line="300" w:lineRule="auto"/>
      </w:pPr>
    </w:p>
    <w:p w14:paraId="12DB5B4F" w14:textId="77777777" w:rsidR="00244D89" w:rsidRDefault="00244D89" w:rsidP="008C2522">
      <w:pPr>
        <w:snapToGrid w:val="0"/>
        <w:spacing w:line="300" w:lineRule="auto"/>
      </w:pPr>
    </w:p>
    <w:p w14:paraId="044AA65E" w14:textId="77777777" w:rsidR="00244D89" w:rsidRDefault="00244D89" w:rsidP="008C2522">
      <w:pPr>
        <w:snapToGrid w:val="0"/>
        <w:spacing w:line="300" w:lineRule="auto"/>
      </w:pPr>
    </w:p>
    <w:p w14:paraId="3EDD0E42" w14:textId="77777777" w:rsidR="00244D89" w:rsidRDefault="00244D89" w:rsidP="008C2522">
      <w:pPr>
        <w:snapToGrid w:val="0"/>
        <w:spacing w:line="300" w:lineRule="auto"/>
      </w:pPr>
    </w:p>
    <w:p w14:paraId="4178D6F6" w14:textId="77777777" w:rsidR="00244D89" w:rsidRDefault="00244D89" w:rsidP="008C2522">
      <w:pPr>
        <w:snapToGrid w:val="0"/>
        <w:spacing w:line="300" w:lineRule="auto"/>
      </w:pPr>
    </w:p>
    <w:p w14:paraId="53DB852A" w14:textId="77777777" w:rsidR="00244D89" w:rsidRDefault="00244D89" w:rsidP="008C2522">
      <w:pPr>
        <w:snapToGrid w:val="0"/>
        <w:spacing w:line="300" w:lineRule="auto"/>
      </w:pPr>
    </w:p>
    <w:p w14:paraId="27908862" w14:textId="77777777" w:rsidR="00244D89" w:rsidRDefault="00244D89" w:rsidP="008C2522">
      <w:pPr>
        <w:snapToGrid w:val="0"/>
        <w:spacing w:line="300" w:lineRule="auto"/>
      </w:pPr>
    </w:p>
    <w:p w14:paraId="6ECCCF32" w14:textId="77777777" w:rsidR="00244D89" w:rsidRDefault="00244D89" w:rsidP="008C2522">
      <w:pPr>
        <w:snapToGrid w:val="0"/>
        <w:spacing w:line="300" w:lineRule="auto"/>
      </w:pPr>
    </w:p>
    <w:p w14:paraId="4235A8D3" w14:textId="77777777" w:rsidR="00244D89" w:rsidRDefault="00244D89" w:rsidP="008C2522">
      <w:pPr>
        <w:snapToGrid w:val="0"/>
        <w:spacing w:line="300" w:lineRule="auto"/>
      </w:pPr>
    </w:p>
    <w:p w14:paraId="1F9A83A4" w14:textId="77777777" w:rsidR="00244D89" w:rsidRDefault="00244D89" w:rsidP="008C2522">
      <w:pPr>
        <w:snapToGrid w:val="0"/>
        <w:spacing w:line="300" w:lineRule="auto"/>
      </w:pPr>
    </w:p>
    <w:p w14:paraId="05B8EE04" w14:textId="77777777" w:rsidR="00244D89" w:rsidRDefault="00244D89" w:rsidP="008C2522">
      <w:pPr>
        <w:snapToGrid w:val="0"/>
        <w:spacing w:line="300" w:lineRule="auto"/>
      </w:pPr>
    </w:p>
    <w:p w14:paraId="228FD537" w14:textId="77777777" w:rsidR="00244D89" w:rsidRPr="005661DE" w:rsidRDefault="00244D89" w:rsidP="008C2522">
      <w:pPr>
        <w:snapToGrid w:val="0"/>
        <w:spacing w:line="300" w:lineRule="auto"/>
      </w:pPr>
    </w:p>
    <w:p w14:paraId="5586EA9E" w14:textId="77777777" w:rsidR="009E688C" w:rsidRPr="005661DE" w:rsidRDefault="009E688C" w:rsidP="008C2522">
      <w:pPr>
        <w:pStyle w:val="1"/>
        <w:snapToGrid w:val="0"/>
      </w:pPr>
      <w:bookmarkStart w:id="30" w:name="_Toc36842051"/>
      <w:bookmarkStart w:id="31" w:name="_Toc36844723"/>
      <w:r w:rsidRPr="005661DE">
        <w:rPr>
          <w:rFonts w:hint="eastAsia"/>
        </w:rPr>
        <w:lastRenderedPageBreak/>
        <w:t>四、认罪认罚从宽制度下量刑建议权的现状</w:t>
      </w:r>
      <w:bookmarkEnd w:id="30"/>
      <w:bookmarkEnd w:id="31"/>
    </w:p>
    <w:p w14:paraId="33E3942E" w14:textId="77777777" w:rsidR="009E688C" w:rsidRPr="005661DE" w:rsidRDefault="009E688C" w:rsidP="008C2522">
      <w:pPr>
        <w:snapToGrid w:val="0"/>
        <w:spacing w:line="300" w:lineRule="auto"/>
      </w:pPr>
    </w:p>
    <w:p w14:paraId="3CB867F3" w14:textId="77777777" w:rsidR="009E688C" w:rsidRPr="005661DE" w:rsidRDefault="009E688C" w:rsidP="008C2522">
      <w:pPr>
        <w:snapToGrid w:val="0"/>
        <w:spacing w:line="300" w:lineRule="auto"/>
      </w:pPr>
      <w:r w:rsidRPr="005661DE">
        <w:rPr>
          <w:rFonts w:hint="eastAsia"/>
        </w:rPr>
        <w:t>量刑建议权作</w:t>
      </w:r>
      <w:r w:rsidR="00FB28BA" w:rsidRPr="005661DE">
        <w:rPr>
          <w:rFonts w:hint="eastAsia"/>
        </w:rPr>
        <w:t>为</w:t>
      </w:r>
      <w:r w:rsidR="00506FBD" w:rsidRPr="005661DE">
        <w:rPr>
          <w:rFonts w:hint="eastAsia"/>
        </w:rPr>
        <w:t>公诉权的一项关键内容，在刑事诉讼活动中扮演重要的角色。在全面推进认罪认罚从宽制度的背景下</w:t>
      </w:r>
      <w:r w:rsidRPr="005661DE">
        <w:rPr>
          <w:rFonts w:hint="eastAsia"/>
        </w:rPr>
        <w:t>，刑事诉讼中的量刑建议权在制度规范层面发生了重大变化，给检察机关公诉职能的发挥带来新的发展机遇和挑战。</w:t>
      </w:r>
    </w:p>
    <w:p w14:paraId="0978BACF" w14:textId="77777777" w:rsidR="009E688C" w:rsidRPr="005661DE" w:rsidRDefault="009E688C" w:rsidP="008C2522">
      <w:pPr>
        <w:pStyle w:val="2"/>
        <w:snapToGrid w:val="0"/>
      </w:pPr>
      <w:bookmarkStart w:id="32" w:name="_Toc36842052"/>
      <w:bookmarkStart w:id="33" w:name="_Toc36844724"/>
      <w:r w:rsidRPr="005661DE">
        <w:rPr>
          <w:rFonts w:hint="eastAsia"/>
        </w:rPr>
        <w:t>（一）量刑建议权的立法规定</w:t>
      </w:r>
      <w:bookmarkEnd w:id="32"/>
      <w:bookmarkEnd w:id="33"/>
    </w:p>
    <w:p w14:paraId="77A34F64" w14:textId="77777777" w:rsidR="009E688C" w:rsidRPr="005661DE" w:rsidRDefault="009E688C" w:rsidP="008C2522">
      <w:pPr>
        <w:snapToGrid w:val="0"/>
        <w:spacing w:line="300" w:lineRule="auto"/>
      </w:pPr>
      <w:r w:rsidRPr="005661DE">
        <w:rPr>
          <w:rFonts w:hint="eastAsia"/>
        </w:rPr>
        <w:t>为规范刑罚裁量权，</w:t>
      </w:r>
      <w:r w:rsidRPr="005661DE">
        <w:t>2010</w:t>
      </w:r>
      <w:r w:rsidRPr="005661DE">
        <w:rPr>
          <w:rFonts w:hint="eastAsia"/>
        </w:rPr>
        <w:t>年最高人民法院对</w:t>
      </w:r>
      <w:r w:rsidRPr="005661DE">
        <w:t>15</w:t>
      </w:r>
      <w:r w:rsidRPr="005661DE">
        <w:rPr>
          <w:rFonts w:hint="eastAsia"/>
        </w:rPr>
        <w:t>种常见犯罪的量</w:t>
      </w:r>
      <w:r w:rsidR="006900C1" w:rsidRPr="005661DE">
        <w:rPr>
          <w:rFonts w:hint="eastAsia"/>
        </w:rPr>
        <w:t>刑幅度、起点、基准刑的设定作了细化规定。与此同时，最高检</w:t>
      </w:r>
      <w:r w:rsidRPr="005661DE">
        <w:rPr>
          <w:rFonts w:hint="eastAsia"/>
        </w:rPr>
        <w:t>也积极同步推行量刑建议</w:t>
      </w:r>
      <w:r w:rsidR="006900C1" w:rsidRPr="005661DE">
        <w:rPr>
          <w:rFonts w:hint="eastAsia"/>
        </w:rPr>
        <w:t>相关制度</w:t>
      </w:r>
      <w:r w:rsidRPr="005661DE">
        <w:rPr>
          <w:rFonts w:hint="eastAsia"/>
        </w:rPr>
        <w:t>，提出了检察机关提出量刑建议时应遵循的原则、条件、幅度以及程序等，以实现量刑的公正。十八大以来，中央统一推进了我国刑事领域“由上至下、由点及面、由浅入深、由外到内”的量刑规范化改革。</w:t>
      </w:r>
      <w:r w:rsidRPr="006146D6">
        <w:rPr>
          <w:vertAlign w:val="superscript"/>
        </w:rPr>
        <w:footnoteReference w:id="17"/>
      </w:r>
      <w:r w:rsidRPr="005661DE">
        <w:rPr>
          <w:rFonts w:hint="eastAsia"/>
        </w:rPr>
        <w:t>根据新修订的《刑事诉讼法》和相关司法解释，量刑建议权的基本内容包括：</w:t>
      </w:r>
    </w:p>
    <w:p w14:paraId="4F29B85F" w14:textId="77777777" w:rsidR="009E688C" w:rsidRPr="005661DE" w:rsidRDefault="009E688C" w:rsidP="008C2522">
      <w:pPr>
        <w:pStyle w:val="3"/>
        <w:snapToGrid w:val="0"/>
      </w:pPr>
      <w:r w:rsidRPr="005661DE">
        <w:t>1.</w:t>
      </w:r>
      <w:r w:rsidRPr="005661DE">
        <w:rPr>
          <w:rFonts w:hint="eastAsia"/>
        </w:rPr>
        <w:t>明确量刑建议的法律地位</w:t>
      </w:r>
    </w:p>
    <w:p w14:paraId="0E92F6E5" w14:textId="77777777" w:rsidR="009E688C" w:rsidRPr="005661DE" w:rsidRDefault="009E688C" w:rsidP="008C2522">
      <w:pPr>
        <w:snapToGrid w:val="0"/>
        <w:spacing w:line="300" w:lineRule="auto"/>
      </w:pPr>
      <w:r w:rsidRPr="005661DE">
        <w:rPr>
          <w:rFonts w:hint="eastAsia"/>
        </w:rPr>
        <w:t>《刑事诉讼法》明确检察院在量刑建议的主体地位，规定了犯罪嫌疑人认罪认罚的，人民检察院应当提出量刑建议。</w:t>
      </w:r>
      <w:r w:rsidR="0050259B" w:rsidRPr="005661DE">
        <w:rPr>
          <w:rFonts w:hint="eastAsia"/>
        </w:rPr>
        <w:t>该规定说明了在被告人认罪认罚的案件中，检察机关的量刑建议是每一案件必须具备的，并不是选择适用的。</w:t>
      </w:r>
      <w:r w:rsidR="00B97E4D" w:rsidRPr="005661DE">
        <w:rPr>
          <w:rFonts w:hint="eastAsia"/>
        </w:rPr>
        <w:t>与一般案件中量刑建议“可有可无”地位和意义完全不同，在被告人认罪认罚的案件中，量刑建议既关系到作为前提的“认罪认罚”的推进，又影响着作为结果的“从宽处罚”的实现。</w:t>
      </w:r>
      <w:r w:rsidRPr="005661DE">
        <w:rPr>
          <w:rFonts w:hint="eastAsia"/>
        </w:rPr>
        <w:t>同时《刑事诉讼规则》第</w:t>
      </w:r>
      <w:r w:rsidRPr="005661DE">
        <w:t>274</w:t>
      </w:r>
      <w:r w:rsidR="0050259B" w:rsidRPr="005661DE">
        <w:rPr>
          <w:rFonts w:hint="eastAsia"/>
        </w:rPr>
        <w:t>条对检察院的量刑建议权作了进一步的细化，要求在起诉书中记录</w:t>
      </w:r>
      <w:r w:rsidRPr="005661DE">
        <w:rPr>
          <w:rFonts w:hint="eastAsia"/>
        </w:rPr>
        <w:t>被告人的认罪认罚</w:t>
      </w:r>
      <w:r w:rsidR="0050259B" w:rsidRPr="005661DE">
        <w:rPr>
          <w:rFonts w:hint="eastAsia"/>
        </w:rPr>
        <w:t>真实</w:t>
      </w:r>
      <w:r w:rsidRPr="005661DE">
        <w:rPr>
          <w:rFonts w:hint="eastAsia"/>
        </w:rPr>
        <w:t>情况，并应</w:t>
      </w:r>
      <w:r w:rsidR="0050259B" w:rsidRPr="005661DE">
        <w:rPr>
          <w:rFonts w:hint="eastAsia"/>
        </w:rPr>
        <w:t>一并</w:t>
      </w:r>
      <w:r w:rsidRPr="005661DE">
        <w:rPr>
          <w:rFonts w:hint="eastAsia"/>
        </w:rPr>
        <w:t>移送认罪认罚具结书。在《指导意见》</w:t>
      </w:r>
      <w:r w:rsidR="00861D2E">
        <w:rPr>
          <w:rFonts w:hint="eastAsia"/>
        </w:rPr>
        <w:t>第</w:t>
      </w:r>
      <w:r w:rsidR="00861D2E">
        <w:rPr>
          <w:rFonts w:hint="eastAsia"/>
        </w:rPr>
        <w:t>33</w:t>
      </w:r>
      <w:r w:rsidR="00861D2E">
        <w:rPr>
          <w:rFonts w:hint="eastAsia"/>
        </w:rPr>
        <w:t>条第</w:t>
      </w:r>
      <w:r w:rsidR="00861D2E">
        <w:rPr>
          <w:rFonts w:hint="eastAsia"/>
        </w:rPr>
        <w:t>2</w:t>
      </w:r>
      <w:r w:rsidR="00861D2E">
        <w:rPr>
          <w:rFonts w:hint="eastAsia"/>
        </w:rPr>
        <w:t>款</w:t>
      </w:r>
      <w:r w:rsidRPr="005661DE">
        <w:rPr>
          <w:rFonts w:hint="eastAsia"/>
        </w:rPr>
        <w:t>中，规定了“</w:t>
      </w:r>
      <w:r w:rsidR="00861D2E">
        <w:rPr>
          <w:rFonts w:hint="eastAsia"/>
        </w:rPr>
        <w:t>办理认罪认罚案件，人民检察院一般应当提出确定刑量刑建议”等内容。</w:t>
      </w:r>
    </w:p>
    <w:p w14:paraId="371675A0" w14:textId="77777777" w:rsidR="009E688C" w:rsidRPr="005661DE" w:rsidRDefault="009E688C" w:rsidP="008C2522">
      <w:pPr>
        <w:pStyle w:val="3"/>
        <w:snapToGrid w:val="0"/>
      </w:pPr>
      <w:r w:rsidRPr="005661DE">
        <w:t>2.</w:t>
      </w:r>
      <w:r w:rsidRPr="005661DE">
        <w:rPr>
          <w:rFonts w:hint="eastAsia"/>
        </w:rPr>
        <w:t>明确量刑建议的效力</w:t>
      </w:r>
    </w:p>
    <w:p w14:paraId="73AB4B12" w14:textId="77777777" w:rsidR="009E688C" w:rsidRPr="005661DE" w:rsidRDefault="009E688C" w:rsidP="008C2522">
      <w:pPr>
        <w:snapToGrid w:val="0"/>
        <w:spacing w:line="300" w:lineRule="auto"/>
      </w:pPr>
      <w:r w:rsidRPr="005661DE">
        <w:rPr>
          <w:rFonts w:hint="eastAsia"/>
        </w:rPr>
        <w:t>关于认罪认罚从宽制度案件量刑建议的效力，既不能违背求刑权的本质，又要考虑现实的客观需要，最大程度地体现制度的优越性、特殊性。</w:t>
      </w:r>
      <w:r w:rsidR="00B97E4D" w:rsidRPr="005661DE">
        <w:rPr>
          <w:rFonts w:hint="eastAsia"/>
        </w:rPr>
        <w:t>作为国家追诉机关的检察机关提出的量刑建议，必然会对法庭最终决定的量刑结果产生潜移默化的影响。检察机关</w:t>
      </w:r>
      <w:r w:rsidRPr="005661DE">
        <w:rPr>
          <w:rFonts w:hint="eastAsia"/>
        </w:rPr>
        <w:t>在认罪认罚案件中检察机关的量刑建议权虽属于求刑权，但它不只代表控方一方的意思表示，而是控辩双方的合意，甚至还会含有被害人的意志。《刑事诉讼法》第</w:t>
      </w:r>
      <w:r w:rsidRPr="005661DE">
        <w:t>201</w:t>
      </w:r>
      <w:r w:rsidRPr="005661DE">
        <w:rPr>
          <w:rFonts w:hint="eastAsia"/>
        </w:rPr>
        <w:t>条完全吸收了《试点办法》第</w:t>
      </w:r>
      <w:r w:rsidRPr="005661DE">
        <w:t>20</w:t>
      </w:r>
      <w:r w:rsidRPr="005661DE">
        <w:rPr>
          <w:rFonts w:hint="eastAsia"/>
        </w:rPr>
        <w:t>条原有的规定，即“一般应当</w:t>
      </w:r>
      <w:r w:rsidRPr="005661DE">
        <w:t>+</w:t>
      </w:r>
      <w:r w:rsidRPr="005661DE">
        <w:rPr>
          <w:rFonts w:hint="eastAsia"/>
        </w:rPr>
        <w:t>除明显不当的规定”的模式。实际上，它是被告人与国家之间达成和解的结果。</w:t>
      </w:r>
    </w:p>
    <w:p w14:paraId="0D6BEA7A" w14:textId="77777777" w:rsidR="009E688C" w:rsidRPr="005661DE" w:rsidRDefault="009E688C" w:rsidP="008C2522">
      <w:pPr>
        <w:pStyle w:val="3"/>
        <w:snapToGrid w:val="0"/>
      </w:pPr>
      <w:r w:rsidRPr="005661DE">
        <w:t>3.</w:t>
      </w:r>
      <w:r w:rsidRPr="005661DE">
        <w:rPr>
          <w:rFonts w:hint="eastAsia"/>
        </w:rPr>
        <w:t>细化量刑建议的内容</w:t>
      </w:r>
    </w:p>
    <w:p w14:paraId="000F0465" w14:textId="77777777" w:rsidR="009E688C" w:rsidRPr="005661DE" w:rsidRDefault="00C977B0" w:rsidP="008C2522">
      <w:pPr>
        <w:snapToGrid w:val="0"/>
        <w:spacing w:line="300" w:lineRule="auto"/>
      </w:pPr>
      <w:r w:rsidRPr="005661DE">
        <w:rPr>
          <w:rFonts w:hint="eastAsia"/>
        </w:rPr>
        <w:t>犯罪嫌疑人认罪认罚的，</w:t>
      </w:r>
      <w:r w:rsidR="009E688C" w:rsidRPr="005661DE">
        <w:rPr>
          <w:rFonts w:hint="eastAsia"/>
        </w:rPr>
        <w:t>《刑事诉讼法》</w:t>
      </w:r>
      <w:r w:rsidRPr="005661DE">
        <w:rPr>
          <w:rFonts w:hint="eastAsia"/>
        </w:rPr>
        <w:t>规定了检察机关提出</w:t>
      </w:r>
      <w:r w:rsidR="009E688C" w:rsidRPr="005661DE">
        <w:rPr>
          <w:rFonts w:hint="eastAsia"/>
        </w:rPr>
        <w:t>量刑建议应包括三</w:t>
      </w:r>
      <w:r w:rsidR="00861D2E">
        <w:rPr>
          <w:rFonts w:hint="eastAsia"/>
        </w:rPr>
        <w:t>个方面的内容。</w:t>
      </w:r>
      <w:r w:rsidRPr="005661DE">
        <w:rPr>
          <w:rFonts w:hint="eastAsia"/>
        </w:rPr>
        <w:t>一是主刑，指主刑的种类。二是附加刑。需要注意的是，传统的</w:t>
      </w:r>
      <w:r w:rsidR="009E688C" w:rsidRPr="005661DE">
        <w:rPr>
          <w:rFonts w:hint="eastAsia"/>
        </w:rPr>
        <w:t>量刑建议</w:t>
      </w:r>
      <w:r w:rsidRPr="005661DE">
        <w:rPr>
          <w:rFonts w:hint="eastAsia"/>
        </w:rPr>
        <w:t>中，检察机关主要针对主刑提出意见</w:t>
      </w:r>
      <w:r w:rsidR="009E688C" w:rsidRPr="005661DE">
        <w:rPr>
          <w:rFonts w:hint="eastAsia"/>
        </w:rPr>
        <w:t>，而</w:t>
      </w:r>
      <w:r w:rsidRPr="005661DE">
        <w:rPr>
          <w:rFonts w:hint="eastAsia"/>
        </w:rPr>
        <w:t>常常</w:t>
      </w:r>
      <w:r w:rsidR="009E688C" w:rsidRPr="005661DE">
        <w:rPr>
          <w:rFonts w:hint="eastAsia"/>
        </w:rPr>
        <w:t>忽视</w:t>
      </w:r>
      <w:r w:rsidRPr="005661DE">
        <w:rPr>
          <w:rFonts w:hint="eastAsia"/>
        </w:rPr>
        <w:t>对</w:t>
      </w:r>
      <w:r w:rsidR="009E688C" w:rsidRPr="005661DE">
        <w:rPr>
          <w:rFonts w:hint="eastAsia"/>
        </w:rPr>
        <w:t>附加刑</w:t>
      </w:r>
      <w:r w:rsidRPr="005661DE">
        <w:rPr>
          <w:rFonts w:hint="eastAsia"/>
        </w:rPr>
        <w:t>的考量。</w:t>
      </w:r>
      <w:r w:rsidR="009E688C" w:rsidRPr="005661DE">
        <w:rPr>
          <w:rFonts w:hint="eastAsia"/>
        </w:rPr>
        <w:t>但在认罪认罚</w:t>
      </w:r>
      <w:r w:rsidR="000D1A7A" w:rsidRPr="005661DE">
        <w:rPr>
          <w:rFonts w:hint="eastAsia"/>
        </w:rPr>
        <w:t>的案件中</w:t>
      </w:r>
      <w:r w:rsidR="0080576A" w:rsidRPr="005661DE">
        <w:rPr>
          <w:rFonts w:hint="eastAsia"/>
        </w:rPr>
        <w:t>，</w:t>
      </w:r>
      <w:r w:rsidR="009E688C" w:rsidRPr="005661DE">
        <w:rPr>
          <w:rFonts w:hint="eastAsia"/>
        </w:rPr>
        <w:t>附加刑中的财产刑作为</w:t>
      </w:r>
      <w:r w:rsidR="00FC011C" w:rsidRPr="005661DE">
        <w:rPr>
          <w:rFonts w:hint="eastAsia"/>
        </w:rPr>
        <w:t>被告人</w:t>
      </w:r>
      <w:r w:rsidR="009E688C" w:rsidRPr="005661DE">
        <w:rPr>
          <w:rFonts w:hint="eastAsia"/>
        </w:rPr>
        <w:t>“认罚”</w:t>
      </w:r>
      <w:r w:rsidR="00FC011C" w:rsidRPr="005661DE">
        <w:rPr>
          <w:rFonts w:hint="eastAsia"/>
        </w:rPr>
        <w:t>重要的一部分，</w:t>
      </w:r>
      <w:r w:rsidR="008C1419" w:rsidRPr="005661DE">
        <w:rPr>
          <w:rFonts w:hint="eastAsia"/>
        </w:rPr>
        <w:t>将直接影响量刑</w:t>
      </w:r>
      <w:r w:rsidR="00FC011C" w:rsidRPr="005661DE">
        <w:rPr>
          <w:rFonts w:hint="eastAsia"/>
        </w:rPr>
        <w:t>的</w:t>
      </w:r>
      <w:r w:rsidR="008C1419" w:rsidRPr="005661DE">
        <w:rPr>
          <w:rFonts w:hint="eastAsia"/>
        </w:rPr>
        <w:t>结果</w:t>
      </w:r>
      <w:r w:rsidR="009E688C" w:rsidRPr="005661DE">
        <w:rPr>
          <w:rFonts w:hint="eastAsia"/>
        </w:rPr>
        <w:t>，应当重视。</w:t>
      </w:r>
      <w:r w:rsidR="0050259B" w:rsidRPr="005661DE">
        <w:rPr>
          <w:rFonts w:hint="eastAsia"/>
        </w:rPr>
        <w:t>三是刑罚的执行方式，即是否适用缓刑。在</w:t>
      </w:r>
      <w:r w:rsidR="009E688C" w:rsidRPr="005661DE">
        <w:rPr>
          <w:rFonts w:hint="eastAsia"/>
        </w:rPr>
        <w:t>《刑事诉讼规则》</w:t>
      </w:r>
      <w:r w:rsidR="00861D2E">
        <w:rPr>
          <w:rFonts w:hint="eastAsia"/>
        </w:rPr>
        <w:t>中规定了可以适用幅度刑量刑建议的情形。</w:t>
      </w:r>
      <w:r w:rsidR="009E688C" w:rsidRPr="005661DE">
        <w:rPr>
          <w:rFonts w:hint="eastAsia"/>
        </w:rPr>
        <w:t>对于量刑建议的内容，检察院提出后</w:t>
      </w:r>
      <w:r w:rsidR="0050259B" w:rsidRPr="005661DE">
        <w:rPr>
          <w:rFonts w:hint="eastAsia"/>
        </w:rPr>
        <w:t>一般</w:t>
      </w:r>
      <w:r w:rsidR="009E688C" w:rsidRPr="005661DE">
        <w:rPr>
          <w:rFonts w:hint="eastAsia"/>
        </w:rPr>
        <w:t>不得随意更改，只有</w:t>
      </w:r>
      <w:r w:rsidR="0050259B" w:rsidRPr="005661DE">
        <w:rPr>
          <w:rFonts w:hint="eastAsia"/>
        </w:rPr>
        <w:t>存在</w:t>
      </w:r>
      <w:r w:rsidR="009E688C" w:rsidRPr="005661DE">
        <w:rPr>
          <w:rFonts w:hint="eastAsia"/>
        </w:rPr>
        <w:t>法院经审理认为量刑建议明显不当</w:t>
      </w:r>
      <w:r w:rsidR="0050259B" w:rsidRPr="005661DE">
        <w:rPr>
          <w:rFonts w:hint="eastAsia"/>
        </w:rPr>
        <w:t>，或被告人及其辩护人一方对量刑建议提出异议这两种情况</w:t>
      </w:r>
      <w:r w:rsidR="009E688C" w:rsidRPr="005661DE">
        <w:rPr>
          <w:rFonts w:hint="eastAsia"/>
        </w:rPr>
        <w:t>才能</w:t>
      </w:r>
      <w:r w:rsidR="0050259B" w:rsidRPr="005661DE">
        <w:rPr>
          <w:rFonts w:hint="eastAsia"/>
        </w:rPr>
        <w:t>对其进行</w:t>
      </w:r>
      <w:r w:rsidR="009E688C" w:rsidRPr="005661DE">
        <w:rPr>
          <w:rFonts w:hint="eastAsia"/>
        </w:rPr>
        <w:t>调整。</w:t>
      </w:r>
    </w:p>
    <w:p w14:paraId="5B284166" w14:textId="77777777" w:rsidR="009E688C" w:rsidRPr="005661DE" w:rsidRDefault="009E688C" w:rsidP="008C2522">
      <w:pPr>
        <w:pStyle w:val="3"/>
        <w:snapToGrid w:val="0"/>
      </w:pPr>
      <w:r w:rsidRPr="005661DE">
        <w:lastRenderedPageBreak/>
        <w:t>4.</w:t>
      </w:r>
      <w:r w:rsidRPr="005661DE">
        <w:rPr>
          <w:rFonts w:hint="eastAsia"/>
        </w:rPr>
        <w:t>确立量刑协商制度</w:t>
      </w:r>
    </w:p>
    <w:p w14:paraId="3261D46D" w14:textId="77777777" w:rsidR="009E688C" w:rsidRPr="005661DE" w:rsidRDefault="009E688C" w:rsidP="008C2522">
      <w:pPr>
        <w:snapToGrid w:val="0"/>
        <w:spacing w:line="300" w:lineRule="auto"/>
      </w:pPr>
      <w:r w:rsidRPr="005661DE">
        <w:t>2012</w:t>
      </w:r>
      <w:r w:rsidRPr="005661DE">
        <w:rPr>
          <w:rFonts w:hint="eastAsia"/>
        </w:rPr>
        <w:t>年</w:t>
      </w:r>
      <w:r w:rsidR="00C977B0" w:rsidRPr="005661DE">
        <w:rPr>
          <w:rFonts w:hint="eastAsia"/>
        </w:rPr>
        <w:t>《</w:t>
      </w:r>
      <w:r w:rsidRPr="005661DE">
        <w:rPr>
          <w:rFonts w:hint="eastAsia"/>
        </w:rPr>
        <w:t>刑事诉讼法</w:t>
      </w:r>
      <w:r w:rsidR="00C977B0" w:rsidRPr="005661DE">
        <w:rPr>
          <w:rFonts w:hint="eastAsia"/>
        </w:rPr>
        <w:t>》</w:t>
      </w:r>
      <w:r w:rsidRPr="005661DE">
        <w:rPr>
          <w:rFonts w:hint="eastAsia"/>
        </w:rPr>
        <w:t>修改，立法确立了公诉</w:t>
      </w:r>
      <w:r w:rsidR="002B362E">
        <w:rPr>
          <w:rFonts w:hint="eastAsia"/>
        </w:rPr>
        <w:t>案件的刑事和解制度。这一制度强调的是被告人与被害人之间的和解。</w:t>
      </w:r>
      <w:r w:rsidR="00285112">
        <w:rPr>
          <w:rFonts w:hint="eastAsia"/>
        </w:rPr>
        <w:t>2018</w:t>
      </w:r>
      <w:r w:rsidR="002B362E">
        <w:rPr>
          <w:rFonts w:hint="eastAsia"/>
        </w:rPr>
        <w:t>年新刑诉法的修订，标志着我国法律体系中已经初步建立具有中国特色的控辩协商制度。</w:t>
      </w:r>
      <w:r w:rsidR="005C43C0" w:rsidRPr="005661DE">
        <w:rPr>
          <w:rFonts w:hint="eastAsia"/>
        </w:rPr>
        <w:t>控辩双方的</w:t>
      </w:r>
      <w:r w:rsidRPr="005661DE">
        <w:rPr>
          <w:rFonts w:hint="eastAsia"/>
        </w:rPr>
        <w:t>量刑协商</w:t>
      </w:r>
      <w:r w:rsidR="005C43C0" w:rsidRPr="005661DE">
        <w:rPr>
          <w:rFonts w:hint="eastAsia"/>
        </w:rPr>
        <w:t>程序</w:t>
      </w:r>
      <w:r w:rsidRPr="005661DE">
        <w:rPr>
          <w:rFonts w:hint="eastAsia"/>
        </w:rPr>
        <w:t>作为</w:t>
      </w:r>
      <w:r w:rsidR="005C43C0" w:rsidRPr="005661DE">
        <w:rPr>
          <w:rFonts w:hint="eastAsia"/>
        </w:rPr>
        <w:t>适用</w:t>
      </w:r>
      <w:r w:rsidRPr="005661DE">
        <w:rPr>
          <w:rFonts w:hint="eastAsia"/>
        </w:rPr>
        <w:t>认罪认罚从宽制度的关键环节，犯罪嫌疑人是否出于自愿，检察机关的量刑从宽是否恰当等因素将直接影响制度的有效运行。《刑事诉讼法》提出了检察官</w:t>
      </w:r>
      <w:r w:rsidR="00225999" w:rsidRPr="005661DE">
        <w:rPr>
          <w:rFonts w:hint="eastAsia"/>
        </w:rPr>
        <w:t>、犯罪嫌疑人、辩护人或值班律师三方在场签署认罪认罚具结书的规定。“三方在场”的格局为的是在强大的检察机关面前，通过辩护人或值班律师“在场”的形式对犯罪嫌疑人的权益进行保护。</w:t>
      </w:r>
      <w:r w:rsidRPr="005661DE">
        <w:rPr>
          <w:rFonts w:hint="eastAsia"/>
        </w:rPr>
        <w:t>犯罪嫌疑人签署认罪认罚具结书的前提是自愿认罪，同意量刑建议和程序适用，这意味着并不是人民检察院直接确定量刑建议后通知犯罪嫌疑人和辩护律师，而是正式提出量刑建议前，要与辩方进行沟通和协商。只有</w:t>
      </w:r>
      <w:r w:rsidR="005C43C0" w:rsidRPr="005661DE">
        <w:rPr>
          <w:rFonts w:hint="eastAsia"/>
        </w:rPr>
        <w:t>双方</w:t>
      </w:r>
      <w:r w:rsidR="004659AD" w:rsidRPr="005661DE">
        <w:rPr>
          <w:rFonts w:hint="eastAsia"/>
        </w:rPr>
        <w:t>达成一致后，犯罪嫌疑人才会</w:t>
      </w:r>
      <w:r w:rsidR="00112E9C" w:rsidRPr="005661DE">
        <w:rPr>
          <w:rFonts w:hint="eastAsia"/>
        </w:rPr>
        <w:t>选择在</w:t>
      </w:r>
      <w:r w:rsidRPr="005661DE">
        <w:rPr>
          <w:rFonts w:hint="eastAsia"/>
        </w:rPr>
        <w:t>具结书</w:t>
      </w:r>
      <w:r w:rsidR="004659AD" w:rsidRPr="005661DE">
        <w:rPr>
          <w:rFonts w:hint="eastAsia"/>
        </w:rPr>
        <w:t>上签字</w:t>
      </w:r>
      <w:r w:rsidRPr="005661DE">
        <w:rPr>
          <w:rFonts w:hint="eastAsia"/>
        </w:rPr>
        <w:t>。</w:t>
      </w:r>
    </w:p>
    <w:p w14:paraId="6E1F3010" w14:textId="77777777" w:rsidR="009E688C" w:rsidRPr="005661DE" w:rsidRDefault="009E688C" w:rsidP="008C2522">
      <w:pPr>
        <w:pStyle w:val="2"/>
        <w:snapToGrid w:val="0"/>
      </w:pPr>
      <w:bookmarkStart w:id="34" w:name="_Toc36842053"/>
      <w:bookmarkStart w:id="35" w:name="_Toc36844725"/>
      <w:r w:rsidRPr="005661DE">
        <w:rPr>
          <w:rFonts w:hint="eastAsia"/>
        </w:rPr>
        <w:t>（二）量刑建议权的实践考察</w:t>
      </w:r>
      <w:bookmarkEnd w:id="34"/>
      <w:bookmarkEnd w:id="35"/>
    </w:p>
    <w:p w14:paraId="3D83C72E" w14:textId="77777777" w:rsidR="009E688C" w:rsidRPr="005661DE" w:rsidRDefault="009E688C" w:rsidP="008C2522">
      <w:pPr>
        <w:snapToGrid w:val="0"/>
        <w:spacing w:line="300" w:lineRule="auto"/>
      </w:pPr>
      <w:r w:rsidRPr="005661DE">
        <w:rPr>
          <w:rFonts w:hint="eastAsia"/>
        </w:rPr>
        <w:t>法律规定所有刑事案件的被告人都可以适用认罪认罚从宽制度，而检察机关的量刑建议权</w:t>
      </w:r>
      <w:r w:rsidR="00B97E4D" w:rsidRPr="005661DE">
        <w:rPr>
          <w:rFonts w:hint="eastAsia"/>
        </w:rPr>
        <w:t>作为适用认罪认罚从宽制度的关键环节，</w:t>
      </w:r>
      <w:r w:rsidRPr="005661DE">
        <w:rPr>
          <w:rFonts w:hint="eastAsia"/>
        </w:rPr>
        <w:t>是保障认罪认罚从宽制度准确适用的重要措施。检察官行使量刑建议权时，要根据案件事实，结合犯罪嫌疑人的犯罪行为、犯罪形态、量刑情节等，并与被告人及其辩护人进行协商，达成量刑意见后提交法庭审判。从各地试点和《刑事诉讼法》实施后的实践情况来看，在认罪认罚从宽制度下检察机关量刑建议权的行使取得了重大进展，呈现以下特点：</w:t>
      </w:r>
    </w:p>
    <w:p w14:paraId="037D02CF" w14:textId="77777777" w:rsidR="009E688C" w:rsidRPr="005661DE" w:rsidRDefault="009E688C" w:rsidP="008C2522">
      <w:pPr>
        <w:pStyle w:val="3"/>
        <w:snapToGrid w:val="0"/>
      </w:pPr>
      <w:r w:rsidRPr="005661DE">
        <w:t>1.</w:t>
      </w:r>
      <w:r w:rsidRPr="005661DE">
        <w:rPr>
          <w:rFonts w:hint="eastAsia"/>
        </w:rPr>
        <w:t>量刑建议采纳率高</w:t>
      </w:r>
    </w:p>
    <w:p w14:paraId="6DE18388" w14:textId="386F7FBE" w:rsidR="009E688C" w:rsidRPr="005661DE" w:rsidRDefault="009E688C" w:rsidP="008C2522">
      <w:pPr>
        <w:snapToGrid w:val="0"/>
        <w:spacing w:line="300" w:lineRule="auto"/>
      </w:pPr>
      <w:r w:rsidRPr="005661DE">
        <w:t>2018</w:t>
      </w:r>
      <w:r w:rsidRPr="005661DE">
        <w:rPr>
          <w:rFonts w:hint="eastAsia"/>
        </w:rPr>
        <w:t>年《刑事诉讼法》沿用了《试点办法》中的规定，</w:t>
      </w:r>
      <w:r w:rsidR="00053956" w:rsidRPr="005661DE">
        <w:rPr>
          <w:rFonts w:hint="eastAsia"/>
        </w:rPr>
        <w:t>对于检察院提出的量刑建议，</w:t>
      </w:r>
      <w:r w:rsidRPr="005661DE">
        <w:rPr>
          <w:rFonts w:hint="eastAsia"/>
        </w:rPr>
        <w:t>法院</w:t>
      </w:r>
      <w:r w:rsidR="005A5DC9" w:rsidRPr="005661DE">
        <w:rPr>
          <w:rFonts w:hint="eastAsia"/>
        </w:rPr>
        <w:t>适用</w:t>
      </w:r>
      <w:r w:rsidR="00F10C4D" w:rsidRPr="005661DE">
        <w:rPr>
          <w:rFonts w:hint="eastAsia"/>
        </w:rPr>
        <w:t>“一般应当”采纳</w:t>
      </w:r>
      <w:r w:rsidR="005A5DC9" w:rsidRPr="005661DE">
        <w:rPr>
          <w:rFonts w:hint="eastAsia"/>
        </w:rPr>
        <w:t>的规定</w:t>
      </w:r>
      <w:r w:rsidRPr="005661DE">
        <w:rPr>
          <w:rFonts w:hint="eastAsia"/>
        </w:rPr>
        <w:t>，对于调动</w:t>
      </w:r>
      <w:r w:rsidR="005A5DC9" w:rsidRPr="005661DE">
        <w:rPr>
          <w:rFonts w:hint="eastAsia"/>
        </w:rPr>
        <w:t>和发挥检察机关在审查起诉阶段的主导作用，确保认罪认罚从宽制度</w:t>
      </w:r>
      <w:r w:rsidRPr="005661DE">
        <w:rPr>
          <w:rFonts w:hint="eastAsia"/>
        </w:rPr>
        <w:t>顺利进行，发挥了重大作用。</w:t>
      </w:r>
      <w:r w:rsidRPr="006146D6">
        <w:rPr>
          <w:vertAlign w:val="superscript"/>
        </w:rPr>
        <w:footnoteReference w:id="18"/>
      </w:r>
      <w:r w:rsidR="005C43C0" w:rsidRPr="005661DE">
        <w:rPr>
          <w:rFonts w:hint="eastAsia"/>
        </w:rPr>
        <w:t>实务中，法院对于检察官提出的</w:t>
      </w:r>
      <w:r w:rsidRPr="005661DE">
        <w:rPr>
          <w:rFonts w:hint="eastAsia"/>
        </w:rPr>
        <w:t>量刑建议呈高采纳率的特点。根据《认罪认罚中期报告》</w:t>
      </w:r>
      <w:r w:rsidR="00315097" w:rsidRPr="005661DE">
        <w:rPr>
          <w:rFonts w:hint="eastAsia"/>
        </w:rPr>
        <w:t>显示</w:t>
      </w:r>
      <w:r w:rsidRPr="005661DE">
        <w:rPr>
          <w:rFonts w:hint="eastAsia"/>
        </w:rPr>
        <w:t>，</w:t>
      </w:r>
      <w:bookmarkStart w:id="36" w:name="OLE_LINK23"/>
      <w:bookmarkStart w:id="37" w:name="OLE_LINK24"/>
      <w:r w:rsidR="00315097" w:rsidRPr="005661DE">
        <w:rPr>
          <w:rFonts w:hint="eastAsia"/>
        </w:rPr>
        <w:t>“</w:t>
      </w:r>
      <w:r w:rsidRPr="005661DE">
        <w:rPr>
          <w:rFonts w:hint="eastAsia"/>
        </w:rPr>
        <w:t>截至</w:t>
      </w:r>
      <w:r w:rsidRPr="005661DE">
        <w:t>2017</w:t>
      </w:r>
      <w:r w:rsidRPr="005661DE">
        <w:rPr>
          <w:rFonts w:hint="eastAsia"/>
        </w:rPr>
        <w:t>年</w:t>
      </w:r>
      <w:r w:rsidRPr="005661DE">
        <w:t>11</w:t>
      </w:r>
      <w:r w:rsidRPr="005661DE">
        <w:rPr>
          <w:rFonts w:hint="eastAsia"/>
        </w:rPr>
        <w:t>月底，</w:t>
      </w:r>
      <w:bookmarkEnd w:id="36"/>
      <w:bookmarkEnd w:id="37"/>
      <w:r w:rsidRPr="005661DE">
        <w:rPr>
          <w:rFonts w:hint="eastAsia"/>
        </w:rPr>
        <w:t>试点地区适用认罪认罚审结的刑事案件共</w:t>
      </w:r>
      <w:r w:rsidRPr="005661DE">
        <w:t>91121</w:t>
      </w:r>
      <w:r w:rsidR="00FB0EC6">
        <w:rPr>
          <w:rFonts w:hint="eastAsia"/>
        </w:rPr>
        <w:t>件，所有案件中由</w:t>
      </w:r>
      <w:r w:rsidRPr="005661DE">
        <w:rPr>
          <w:rFonts w:hint="eastAsia"/>
        </w:rPr>
        <w:t>检察院</w:t>
      </w:r>
      <w:r w:rsidR="00FB0EC6">
        <w:rPr>
          <w:rFonts w:hint="eastAsia"/>
        </w:rPr>
        <w:t>提出</w:t>
      </w:r>
      <w:r w:rsidRPr="005661DE">
        <w:rPr>
          <w:rFonts w:hint="eastAsia"/>
        </w:rPr>
        <w:t>建议适用</w:t>
      </w:r>
      <w:r w:rsidR="00FB0EC6">
        <w:rPr>
          <w:rFonts w:hint="eastAsia"/>
        </w:rPr>
        <w:t>认罪认罚从宽制度</w:t>
      </w:r>
      <w:r w:rsidRPr="005661DE">
        <w:rPr>
          <w:rFonts w:hint="eastAsia"/>
        </w:rPr>
        <w:t>的</w:t>
      </w:r>
      <w:r w:rsidR="00FB0EC6">
        <w:rPr>
          <w:rFonts w:hint="eastAsia"/>
        </w:rPr>
        <w:t>高</w:t>
      </w:r>
      <w:r w:rsidRPr="005661DE">
        <w:rPr>
          <w:rFonts w:hint="eastAsia"/>
        </w:rPr>
        <w:t>达</w:t>
      </w:r>
      <w:r w:rsidRPr="005661DE">
        <w:t>98. 4%</w:t>
      </w:r>
      <w:r w:rsidRPr="005661DE">
        <w:rPr>
          <w:rFonts w:hint="eastAsia"/>
        </w:rPr>
        <w:t>，</w:t>
      </w:r>
      <w:r w:rsidR="00C977B0" w:rsidRPr="005661DE">
        <w:rPr>
          <w:rFonts w:hint="eastAsia"/>
        </w:rPr>
        <w:t>法院对检察院提出的</w:t>
      </w:r>
      <w:r w:rsidRPr="005661DE">
        <w:rPr>
          <w:rFonts w:hint="eastAsia"/>
        </w:rPr>
        <w:t>量刑建议的采纳率为</w:t>
      </w:r>
      <w:r w:rsidRPr="005661DE">
        <w:t>92. 1%</w:t>
      </w:r>
      <w:r w:rsidRPr="005661DE">
        <w:rPr>
          <w:rFonts w:hint="eastAsia"/>
        </w:rPr>
        <w:t>。</w:t>
      </w:r>
      <w:r w:rsidR="002513C6">
        <w:rPr>
          <w:rFonts w:hint="eastAsia"/>
        </w:rPr>
        <w:t>”</w:t>
      </w:r>
      <w:r w:rsidRPr="006146D6">
        <w:rPr>
          <w:vertAlign w:val="superscript"/>
        </w:rPr>
        <w:footnoteReference w:id="19"/>
      </w:r>
      <w:r w:rsidRPr="005661DE">
        <w:rPr>
          <w:rFonts w:hint="eastAsia"/>
        </w:rPr>
        <w:t>在</w:t>
      </w:r>
      <w:r w:rsidRPr="005661DE">
        <w:t>2019</w:t>
      </w:r>
      <w:r w:rsidRPr="005661DE">
        <w:rPr>
          <w:rFonts w:hint="eastAsia"/>
        </w:rPr>
        <w:t>年的最高检的报告中，检察机关建议适用认罪认罚从宽程序审理的案件占</w:t>
      </w:r>
      <w:r w:rsidRPr="005661DE">
        <w:t>98.3%</w:t>
      </w:r>
      <w:r w:rsidRPr="005661DE">
        <w:rPr>
          <w:rFonts w:hint="eastAsia"/>
        </w:rPr>
        <w:t>，量刑建议采纳率</w:t>
      </w:r>
      <w:r w:rsidRPr="005661DE">
        <w:t>96%</w:t>
      </w:r>
      <w:r w:rsidRPr="005661DE">
        <w:rPr>
          <w:rFonts w:hint="eastAsia"/>
        </w:rPr>
        <w:t>。</w:t>
      </w:r>
      <w:r w:rsidRPr="006146D6">
        <w:rPr>
          <w:vertAlign w:val="superscript"/>
        </w:rPr>
        <w:footnoteReference w:id="20"/>
      </w:r>
      <w:r w:rsidR="00C977B0" w:rsidRPr="005661DE">
        <w:rPr>
          <w:rFonts w:hint="eastAsia"/>
        </w:rPr>
        <w:t>在山东淄博和海南屯昌甚至出现了量刑建议</w:t>
      </w:r>
      <w:r w:rsidRPr="005661DE">
        <w:rPr>
          <w:rFonts w:hint="eastAsia"/>
        </w:rPr>
        <w:t>采纳率达到</w:t>
      </w:r>
      <w:r w:rsidRPr="005661DE">
        <w:t>100%</w:t>
      </w:r>
      <w:r w:rsidRPr="005661DE">
        <w:rPr>
          <w:rFonts w:hint="eastAsia"/>
        </w:rPr>
        <w:t>。</w:t>
      </w:r>
      <w:r w:rsidRPr="006146D6">
        <w:rPr>
          <w:vertAlign w:val="superscript"/>
        </w:rPr>
        <w:footnoteReference w:id="21"/>
      </w:r>
    </w:p>
    <w:p w14:paraId="7F7FEB6B" w14:textId="77777777" w:rsidR="009E688C" w:rsidRPr="005661DE" w:rsidRDefault="009E688C" w:rsidP="008C2522">
      <w:pPr>
        <w:pStyle w:val="3"/>
        <w:snapToGrid w:val="0"/>
      </w:pPr>
      <w:r w:rsidRPr="005661DE">
        <w:t>2.</w:t>
      </w:r>
      <w:r w:rsidRPr="005661DE">
        <w:rPr>
          <w:rFonts w:hint="eastAsia"/>
        </w:rPr>
        <w:t>量刑建议适用范围宽泛</w:t>
      </w:r>
    </w:p>
    <w:p w14:paraId="6977612E" w14:textId="77777777" w:rsidR="009E688C" w:rsidRPr="005661DE" w:rsidRDefault="009E688C" w:rsidP="008C2522">
      <w:pPr>
        <w:snapToGrid w:val="0"/>
        <w:spacing w:line="300" w:lineRule="auto"/>
      </w:pPr>
      <w:r w:rsidRPr="005661DE">
        <w:rPr>
          <w:rFonts w:hint="eastAsia"/>
        </w:rPr>
        <w:t>在开展量刑建议工作的初期，由于缺乏明确统一的量刑标准，加之检察机关因缺乏量刑建议的</w:t>
      </w:r>
      <w:r w:rsidR="005C43C0" w:rsidRPr="005661DE">
        <w:rPr>
          <w:rFonts w:hint="eastAsia"/>
        </w:rPr>
        <w:t>办案</w:t>
      </w:r>
      <w:r w:rsidRPr="005661DE">
        <w:rPr>
          <w:rFonts w:hint="eastAsia"/>
        </w:rPr>
        <w:t>经验，对量刑规律把握不准确等原因，司法实践中，检察官一般仅对事实清楚、量刑情节</w:t>
      </w:r>
      <w:r w:rsidR="005C43C0" w:rsidRPr="005661DE">
        <w:rPr>
          <w:rFonts w:hint="eastAsia"/>
        </w:rPr>
        <w:t>清晰</w:t>
      </w:r>
      <w:r w:rsidRPr="005661DE">
        <w:rPr>
          <w:rFonts w:hint="eastAsia"/>
        </w:rPr>
        <w:t>明确的案件提出量刑建议。随着量刑规范化改革的不断推进，量刑指导意见不断完善，适用量刑建议的案件范围不断扩大，量刑标准、方法和程序也在逐步细化。最高法从</w:t>
      </w:r>
      <w:r w:rsidRPr="005661DE">
        <w:t>2010</w:t>
      </w:r>
      <w:r w:rsidRPr="005661DE">
        <w:rPr>
          <w:rFonts w:hint="eastAsia"/>
        </w:rPr>
        <w:t>年通过的《人民法院量刑指导意见（试行）》中包含的</w:t>
      </w:r>
      <w:r w:rsidRPr="005661DE">
        <w:t>15</w:t>
      </w:r>
      <w:r w:rsidRPr="005661DE">
        <w:rPr>
          <w:rFonts w:hint="eastAsia"/>
        </w:rPr>
        <w:t>种罪名，发展到目前的</w:t>
      </w:r>
      <w:r w:rsidRPr="005661DE">
        <w:t>23</w:t>
      </w:r>
      <w:r w:rsidRPr="005661DE">
        <w:rPr>
          <w:rFonts w:hint="eastAsia"/>
        </w:rPr>
        <w:t>种罪名，量刑指导意见已对涵盖</w:t>
      </w:r>
      <w:r w:rsidRPr="005661DE">
        <w:t>90%</w:t>
      </w:r>
      <w:r w:rsidRPr="005661DE">
        <w:rPr>
          <w:rFonts w:hint="eastAsia"/>
        </w:rPr>
        <w:t>刑事案件中常见的的量刑标准进行细化。在认罪认罚</w:t>
      </w:r>
      <w:r w:rsidRPr="005661DE">
        <w:rPr>
          <w:rFonts w:hint="eastAsia"/>
        </w:rPr>
        <w:lastRenderedPageBreak/>
        <w:t>从宽制度在全国全面推行后，检察官提出量刑建议成为认罪认罚案件诉讼过程中必不可少的一步，各地结合当地的情况，因地制宜扩大了量刑指导意见的案件范围，量刑建议的适用范围进一步的扩大，司法实践中已不再局限于常见的</w:t>
      </w:r>
      <w:r w:rsidRPr="005661DE">
        <w:t>23</w:t>
      </w:r>
      <w:r w:rsidRPr="005661DE">
        <w:rPr>
          <w:rFonts w:hint="eastAsia"/>
        </w:rPr>
        <w:t>种罪名，在上海，检察机关根据认罪认罚从宽制度审理起诉的案件涉及</w:t>
      </w:r>
      <w:r w:rsidRPr="005661DE">
        <w:t>38</w:t>
      </w:r>
      <w:r w:rsidRPr="005661DE">
        <w:rPr>
          <w:rFonts w:hint="eastAsia"/>
        </w:rPr>
        <w:t>项罪名。</w:t>
      </w:r>
      <w:r w:rsidRPr="006146D6">
        <w:rPr>
          <w:vertAlign w:val="superscript"/>
        </w:rPr>
        <w:footnoteReference w:id="22"/>
      </w:r>
    </w:p>
    <w:p w14:paraId="23D7FE8D" w14:textId="77777777" w:rsidR="009E688C" w:rsidRPr="005661DE" w:rsidRDefault="009E688C" w:rsidP="008C2522">
      <w:pPr>
        <w:pStyle w:val="3"/>
        <w:snapToGrid w:val="0"/>
      </w:pPr>
      <w:r w:rsidRPr="005661DE">
        <w:t>3.</w:t>
      </w:r>
      <w:r w:rsidRPr="005661DE">
        <w:rPr>
          <w:rFonts w:hint="eastAsia"/>
        </w:rPr>
        <w:t>量刑建议幅度刑占比高</w:t>
      </w:r>
    </w:p>
    <w:p w14:paraId="304D1CB9" w14:textId="77777777" w:rsidR="009E688C" w:rsidRPr="005661DE" w:rsidRDefault="009E688C" w:rsidP="008C2522">
      <w:pPr>
        <w:snapToGrid w:val="0"/>
        <w:spacing w:line="300" w:lineRule="auto"/>
      </w:pPr>
      <w:r w:rsidRPr="005661DE">
        <w:rPr>
          <w:rFonts w:hint="eastAsia"/>
        </w:rPr>
        <w:t>量刑</w:t>
      </w:r>
      <w:r w:rsidR="005F2BEA" w:rsidRPr="005661DE">
        <w:rPr>
          <w:rFonts w:hint="eastAsia"/>
        </w:rPr>
        <w:t>工作既是一个事实认定问题，也是一个价值判定</w:t>
      </w:r>
      <w:r w:rsidR="0065501E" w:rsidRPr="005661DE">
        <w:rPr>
          <w:rFonts w:hint="eastAsia"/>
        </w:rPr>
        <w:t>问题。在认定事实证据的基础</w:t>
      </w:r>
      <w:r w:rsidRPr="005661DE">
        <w:rPr>
          <w:rFonts w:hint="eastAsia"/>
        </w:rPr>
        <w:t>上</w:t>
      </w:r>
      <w:r w:rsidR="0065501E" w:rsidRPr="005661DE">
        <w:rPr>
          <w:rFonts w:hint="eastAsia"/>
        </w:rPr>
        <w:t>与承办案件检察官的主观判断</w:t>
      </w:r>
      <w:r w:rsidR="005C43C0" w:rsidRPr="005661DE">
        <w:rPr>
          <w:rFonts w:hint="eastAsia"/>
        </w:rPr>
        <w:t>、</w:t>
      </w:r>
      <w:r w:rsidR="0065501E" w:rsidRPr="005661DE">
        <w:rPr>
          <w:rFonts w:hint="eastAsia"/>
        </w:rPr>
        <w:t>办案经验及业务能力有关，不同主体之间具有明显的</w:t>
      </w:r>
      <w:r w:rsidRPr="005661DE">
        <w:rPr>
          <w:rFonts w:hint="eastAsia"/>
        </w:rPr>
        <w:t>差异。</w:t>
      </w:r>
      <w:r w:rsidRPr="006146D6">
        <w:rPr>
          <w:vertAlign w:val="superscript"/>
        </w:rPr>
        <w:footnoteReference w:id="23"/>
      </w:r>
      <w:r w:rsidR="00003472" w:rsidRPr="005661DE">
        <w:rPr>
          <w:rFonts w:hint="eastAsia"/>
        </w:rPr>
        <w:t>幅度刑</w:t>
      </w:r>
      <w:r w:rsidRPr="005661DE">
        <w:rPr>
          <w:rFonts w:hint="eastAsia"/>
        </w:rPr>
        <w:t>量刑建议具有一定的弹性空间，能够弥补案件出现新事实带来的问题，</w:t>
      </w:r>
      <w:r w:rsidR="00C861F5">
        <w:rPr>
          <w:rFonts w:hint="eastAsia"/>
        </w:rPr>
        <w:t>且量刑建议结果形成过程较为简便，</w:t>
      </w:r>
      <w:r w:rsidRPr="005661DE">
        <w:rPr>
          <w:rFonts w:hint="eastAsia"/>
        </w:rPr>
        <w:t>具有一定的优点。在传统量刑活动中，法官</w:t>
      </w:r>
      <w:r w:rsidR="00C861F5">
        <w:rPr>
          <w:rFonts w:hint="eastAsia"/>
        </w:rPr>
        <w:t>因利于判定及可以自由适用量刑权等原因</w:t>
      </w:r>
      <w:r w:rsidRPr="005661DE">
        <w:rPr>
          <w:rFonts w:hint="eastAsia"/>
        </w:rPr>
        <w:t>更乐于接受幅度型的量刑建议。从《认罪认罚中期报告》的数据可以得知，在试点的前期，量刑建议中幅度刑达</w:t>
      </w:r>
      <w:r w:rsidRPr="005661DE">
        <w:t>70. 6%</w:t>
      </w:r>
      <w:r w:rsidRPr="005661DE">
        <w:rPr>
          <w:rFonts w:hint="eastAsia"/>
        </w:rPr>
        <w:t>，确定刑为</w:t>
      </w:r>
      <w:r w:rsidRPr="005661DE">
        <w:t xml:space="preserve"> 29. 4%</w:t>
      </w:r>
      <w:r w:rsidRPr="005661DE">
        <w:rPr>
          <w:rFonts w:hint="eastAsia"/>
        </w:rPr>
        <w:t>。</w:t>
      </w:r>
      <w:r w:rsidRPr="005661DE">
        <w:t>2019</w:t>
      </w:r>
      <w:r w:rsidRPr="005661DE">
        <w:rPr>
          <w:rFonts w:hint="eastAsia"/>
        </w:rPr>
        <w:t>年</w:t>
      </w:r>
      <w:r w:rsidRPr="005661DE">
        <w:t>1</w:t>
      </w:r>
      <w:r w:rsidRPr="005661DE">
        <w:rPr>
          <w:rFonts w:hint="eastAsia"/>
        </w:rPr>
        <w:t>月至</w:t>
      </w:r>
      <w:r w:rsidRPr="005661DE">
        <w:t>9</w:t>
      </w:r>
      <w:r w:rsidRPr="005661DE">
        <w:rPr>
          <w:rFonts w:hint="eastAsia"/>
        </w:rPr>
        <w:t>月，全国检察机关提出确定刑量刑建议占比</w:t>
      </w:r>
      <w:r w:rsidRPr="005661DE">
        <w:t>33.5%</w:t>
      </w:r>
      <w:r w:rsidRPr="005661DE">
        <w:rPr>
          <w:rFonts w:hint="eastAsia"/>
        </w:rPr>
        <w:t>。</w:t>
      </w:r>
      <w:r w:rsidRPr="006146D6">
        <w:rPr>
          <w:vertAlign w:val="superscript"/>
        </w:rPr>
        <w:footnoteReference w:id="24"/>
      </w:r>
      <w:r w:rsidRPr="005661DE">
        <w:rPr>
          <w:rFonts w:hint="eastAsia"/>
        </w:rPr>
        <w:t>即实践中，幅度型的量刑建议达到了</w:t>
      </w:r>
      <w:r w:rsidRPr="005661DE">
        <w:t>2/3</w:t>
      </w:r>
      <w:r w:rsidRPr="005661DE">
        <w:rPr>
          <w:rFonts w:hint="eastAsia"/>
        </w:rPr>
        <w:t>以上。</w:t>
      </w:r>
    </w:p>
    <w:p w14:paraId="1953B336" w14:textId="77777777" w:rsidR="009E688C" w:rsidRPr="005661DE" w:rsidRDefault="009E688C" w:rsidP="008C2522">
      <w:pPr>
        <w:pStyle w:val="3"/>
        <w:snapToGrid w:val="0"/>
      </w:pPr>
      <w:r w:rsidRPr="005661DE">
        <w:t>4.</w:t>
      </w:r>
      <w:r w:rsidRPr="005661DE">
        <w:rPr>
          <w:rFonts w:hint="eastAsia"/>
        </w:rPr>
        <w:t>检察机关在量刑协商过程中处于主导地位</w:t>
      </w:r>
    </w:p>
    <w:p w14:paraId="3B0ED577" w14:textId="77777777" w:rsidR="009E688C" w:rsidRPr="005661DE" w:rsidRDefault="00BE6BED" w:rsidP="008C2522">
      <w:pPr>
        <w:snapToGrid w:val="0"/>
        <w:spacing w:line="300" w:lineRule="auto"/>
      </w:pPr>
      <w:r w:rsidRPr="005661DE">
        <w:rPr>
          <w:rFonts w:hint="eastAsia"/>
        </w:rPr>
        <w:t>检察机关</w:t>
      </w:r>
      <w:r w:rsidR="009E688C" w:rsidRPr="005661DE">
        <w:rPr>
          <w:rFonts w:hint="eastAsia"/>
        </w:rPr>
        <w:t>作为国家追诉机关，还要对诉讼活动进行监督，以实现案件判决的公平正义，检察机关的多重角色决定了其在认罪认罚从宽制度中承担主导责任。追求实体的真实和</w:t>
      </w:r>
      <w:r w:rsidRPr="005661DE">
        <w:rPr>
          <w:rFonts w:hint="eastAsia"/>
        </w:rPr>
        <w:t>程序的</w:t>
      </w:r>
      <w:r w:rsidR="009E688C" w:rsidRPr="005661DE">
        <w:rPr>
          <w:rFonts w:hint="eastAsia"/>
        </w:rPr>
        <w:t>公正是认罪认罚从宽制度重要的价值取向。控辩双方的量刑协商是保</w:t>
      </w:r>
      <w:r w:rsidR="00E06829" w:rsidRPr="005661DE">
        <w:rPr>
          <w:rFonts w:hint="eastAsia"/>
        </w:rPr>
        <w:t>障被告方通过</w:t>
      </w:r>
      <w:r w:rsidRPr="005661DE">
        <w:rPr>
          <w:rFonts w:hint="eastAsia"/>
        </w:rPr>
        <w:t>认罪认罚而得到最终</w:t>
      </w:r>
      <w:r w:rsidR="00E06829" w:rsidRPr="005661DE">
        <w:rPr>
          <w:rFonts w:hint="eastAsia"/>
        </w:rPr>
        <w:t>量刑结果</w:t>
      </w:r>
      <w:r w:rsidR="009E688C" w:rsidRPr="005661DE">
        <w:rPr>
          <w:rFonts w:hint="eastAsia"/>
        </w:rPr>
        <w:t>从宽的重要途径。</w:t>
      </w:r>
      <w:r w:rsidR="00225999" w:rsidRPr="005661DE">
        <w:rPr>
          <w:rFonts w:hint="eastAsia"/>
        </w:rPr>
        <w:t>在犯罪嫌疑人认罪认罚的案件中，检察官应对其进行审查，并</w:t>
      </w:r>
      <w:r w:rsidR="0065501E" w:rsidRPr="005661DE">
        <w:rPr>
          <w:rFonts w:hint="eastAsia"/>
        </w:rPr>
        <w:t>提前</w:t>
      </w:r>
      <w:r w:rsidR="00225999" w:rsidRPr="005661DE">
        <w:rPr>
          <w:rFonts w:hint="eastAsia"/>
        </w:rPr>
        <w:t>示知</w:t>
      </w:r>
      <w:r w:rsidR="00943333" w:rsidRPr="005661DE">
        <w:rPr>
          <w:rFonts w:hint="eastAsia"/>
        </w:rPr>
        <w:t>其拥有</w:t>
      </w:r>
      <w:r w:rsidR="0065501E" w:rsidRPr="005661DE">
        <w:rPr>
          <w:rFonts w:hint="eastAsia"/>
        </w:rPr>
        <w:t>的</w:t>
      </w:r>
      <w:r w:rsidR="00E06829" w:rsidRPr="005661DE">
        <w:rPr>
          <w:rFonts w:hint="eastAsia"/>
        </w:rPr>
        <w:t>权利和相关</w:t>
      </w:r>
      <w:r w:rsidR="00943333" w:rsidRPr="005661DE">
        <w:rPr>
          <w:rFonts w:hint="eastAsia"/>
        </w:rPr>
        <w:t>的法律规范</w:t>
      </w:r>
      <w:r w:rsidR="009E688C" w:rsidRPr="005661DE">
        <w:rPr>
          <w:rFonts w:hint="eastAsia"/>
        </w:rPr>
        <w:t>，同时听取其辩护人或值班律师的意</w:t>
      </w:r>
      <w:r w:rsidR="00E06829" w:rsidRPr="005661DE">
        <w:rPr>
          <w:rFonts w:hint="eastAsia"/>
        </w:rPr>
        <w:t>见。</w:t>
      </w:r>
      <w:r w:rsidR="009E688C" w:rsidRPr="005661DE">
        <w:rPr>
          <w:rFonts w:hint="eastAsia"/>
        </w:rPr>
        <w:t>犯罪嫌疑人同意</w:t>
      </w:r>
      <w:r w:rsidR="00943333" w:rsidRPr="005661DE">
        <w:rPr>
          <w:rFonts w:hint="eastAsia"/>
        </w:rPr>
        <w:t>检察官提出的量刑建议时</w:t>
      </w:r>
      <w:r w:rsidR="00E06829" w:rsidRPr="005661DE">
        <w:rPr>
          <w:rFonts w:hint="eastAsia"/>
        </w:rPr>
        <w:t>，</w:t>
      </w:r>
      <w:r w:rsidR="00943333" w:rsidRPr="005661DE">
        <w:rPr>
          <w:rFonts w:hint="eastAsia"/>
        </w:rPr>
        <w:t>应保证辩护人或值班律师在场见证，再</w:t>
      </w:r>
      <w:r w:rsidR="009E688C" w:rsidRPr="005661DE">
        <w:rPr>
          <w:rFonts w:hint="eastAsia"/>
        </w:rPr>
        <w:t>签署认罪认罚具结书。现行法律规范下，没有规定控辩双方在协商过程中的方式和过程，没有明确辩方参与量刑的形式，仅有“应当听取意见”、“在辩护律师在场的情况下”的方式作以限制。因此，基于我国被告人法律水平及刑事辩护队伍的现</w:t>
      </w:r>
      <w:r w:rsidR="005F2BEA" w:rsidRPr="005661DE">
        <w:rPr>
          <w:rFonts w:hint="eastAsia"/>
        </w:rPr>
        <w:t>状，因缺乏相应的制度保障，控辩双方力量对比悬殊，在量刑协商这一环节</w:t>
      </w:r>
      <w:r w:rsidR="009E688C" w:rsidRPr="005661DE">
        <w:rPr>
          <w:rFonts w:hint="eastAsia"/>
        </w:rPr>
        <w:t>中检察官无疑是占据主导地位。</w:t>
      </w:r>
    </w:p>
    <w:p w14:paraId="43200E92" w14:textId="77777777" w:rsidR="009E688C" w:rsidRDefault="009E688C" w:rsidP="008C2522">
      <w:pPr>
        <w:snapToGrid w:val="0"/>
        <w:spacing w:line="300" w:lineRule="auto"/>
      </w:pPr>
    </w:p>
    <w:p w14:paraId="02F35695" w14:textId="77777777" w:rsidR="00244D89" w:rsidRDefault="00244D89" w:rsidP="008C2522">
      <w:pPr>
        <w:snapToGrid w:val="0"/>
        <w:spacing w:line="300" w:lineRule="auto"/>
      </w:pPr>
    </w:p>
    <w:p w14:paraId="4C4D3D10" w14:textId="77777777" w:rsidR="00244D89" w:rsidRDefault="00244D89" w:rsidP="008C2522">
      <w:pPr>
        <w:snapToGrid w:val="0"/>
        <w:spacing w:line="300" w:lineRule="auto"/>
      </w:pPr>
    </w:p>
    <w:p w14:paraId="4A2C6BBA" w14:textId="77777777" w:rsidR="00244D89" w:rsidRDefault="00244D89" w:rsidP="008C2522">
      <w:pPr>
        <w:snapToGrid w:val="0"/>
        <w:spacing w:line="300" w:lineRule="auto"/>
      </w:pPr>
    </w:p>
    <w:p w14:paraId="252D920B" w14:textId="77777777" w:rsidR="00244D89" w:rsidRDefault="00244D89" w:rsidP="008C2522">
      <w:pPr>
        <w:snapToGrid w:val="0"/>
        <w:spacing w:line="300" w:lineRule="auto"/>
      </w:pPr>
    </w:p>
    <w:p w14:paraId="604870CF" w14:textId="77777777" w:rsidR="00244D89" w:rsidRDefault="00244D89" w:rsidP="008C2522">
      <w:pPr>
        <w:snapToGrid w:val="0"/>
        <w:spacing w:line="300" w:lineRule="auto"/>
      </w:pPr>
    </w:p>
    <w:p w14:paraId="561C939C" w14:textId="77777777" w:rsidR="00244D89" w:rsidRDefault="00244D89" w:rsidP="008C2522">
      <w:pPr>
        <w:snapToGrid w:val="0"/>
        <w:spacing w:line="300" w:lineRule="auto"/>
      </w:pPr>
    </w:p>
    <w:p w14:paraId="21579C6B" w14:textId="77777777" w:rsidR="00244D89" w:rsidRDefault="00244D89" w:rsidP="008C2522">
      <w:pPr>
        <w:snapToGrid w:val="0"/>
        <w:spacing w:line="300" w:lineRule="auto"/>
      </w:pPr>
    </w:p>
    <w:p w14:paraId="3918790E" w14:textId="77777777" w:rsidR="00244D89" w:rsidRDefault="00244D89" w:rsidP="008C2522">
      <w:pPr>
        <w:snapToGrid w:val="0"/>
        <w:spacing w:line="300" w:lineRule="auto"/>
      </w:pPr>
    </w:p>
    <w:p w14:paraId="7AE8F329" w14:textId="77777777" w:rsidR="00244D89" w:rsidRDefault="00244D89" w:rsidP="008C2522">
      <w:pPr>
        <w:snapToGrid w:val="0"/>
        <w:spacing w:line="300" w:lineRule="auto"/>
      </w:pPr>
    </w:p>
    <w:p w14:paraId="55C56D5F" w14:textId="77777777" w:rsidR="00244D89" w:rsidRDefault="00244D89" w:rsidP="008C2522">
      <w:pPr>
        <w:snapToGrid w:val="0"/>
        <w:spacing w:line="300" w:lineRule="auto"/>
      </w:pPr>
    </w:p>
    <w:p w14:paraId="1201AA8F" w14:textId="77777777" w:rsidR="00244D89" w:rsidRDefault="00244D89" w:rsidP="008C2522">
      <w:pPr>
        <w:snapToGrid w:val="0"/>
        <w:spacing w:line="300" w:lineRule="auto"/>
      </w:pPr>
    </w:p>
    <w:p w14:paraId="64F8E9A4" w14:textId="77777777" w:rsidR="00244D89" w:rsidRDefault="00244D89" w:rsidP="008C2522">
      <w:pPr>
        <w:snapToGrid w:val="0"/>
        <w:spacing w:line="300" w:lineRule="auto"/>
      </w:pPr>
    </w:p>
    <w:p w14:paraId="3C283389" w14:textId="77777777" w:rsidR="00244D89" w:rsidRDefault="00244D89" w:rsidP="008C2522">
      <w:pPr>
        <w:snapToGrid w:val="0"/>
        <w:spacing w:line="300" w:lineRule="auto"/>
      </w:pPr>
    </w:p>
    <w:p w14:paraId="590B1E05" w14:textId="77777777" w:rsidR="00244D89" w:rsidRPr="005661DE" w:rsidRDefault="00244D89" w:rsidP="008C2522">
      <w:pPr>
        <w:snapToGrid w:val="0"/>
        <w:spacing w:line="300" w:lineRule="auto"/>
      </w:pPr>
    </w:p>
    <w:p w14:paraId="3FDBD6CC" w14:textId="77777777" w:rsidR="009E688C" w:rsidRPr="005661DE" w:rsidRDefault="009E688C" w:rsidP="008C2522">
      <w:pPr>
        <w:pStyle w:val="1"/>
        <w:snapToGrid w:val="0"/>
      </w:pPr>
      <w:bookmarkStart w:id="38" w:name="_Toc36842054"/>
      <w:bookmarkStart w:id="39" w:name="_Toc36844726"/>
      <w:r w:rsidRPr="005661DE">
        <w:rPr>
          <w:rFonts w:hint="eastAsia"/>
        </w:rPr>
        <w:lastRenderedPageBreak/>
        <w:t>五、认罪认罚从宽制度下检察机关量刑建议权存在的问题</w:t>
      </w:r>
      <w:bookmarkEnd w:id="38"/>
      <w:bookmarkEnd w:id="39"/>
    </w:p>
    <w:p w14:paraId="6FCC2F31" w14:textId="77777777" w:rsidR="009E688C" w:rsidRPr="005661DE" w:rsidRDefault="009E688C" w:rsidP="008C2522">
      <w:pPr>
        <w:snapToGrid w:val="0"/>
        <w:spacing w:line="300" w:lineRule="auto"/>
      </w:pPr>
    </w:p>
    <w:p w14:paraId="073B57E6" w14:textId="77777777" w:rsidR="009E688C" w:rsidRPr="005661DE" w:rsidRDefault="009E688C" w:rsidP="008C2522">
      <w:pPr>
        <w:snapToGrid w:val="0"/>
        <w:spacing w:line="300" w:lineRule="auto"/>
      </w:pPr>
      <w:r w:rsidRPr="005661DE">
        <w:rPr>
          <w:rFonts w:hint="eastAsia"/>
        </w:rPr>
        <w:t>总体而言，目前全国检察机关的量刑建议权的行使正处于良性和规范发展的阶段。认罪认罚案件中检察机关行使量刑建议权取得了重大进展，</w:t>
      </w:r>
      <w:r w:rsidR="00C861F5">
        <w:rPr>
          <w:rFonts w:hint="eastAsia"/>
        </w:rPr>
        <w:t>在</w:t>
      </w:r>
      <w:r w:rsidR="00030786">
        <w:rPr>
          <w:rFonts w:hint="eastAsia"/>
        </w:rPr>
        <w:t>刑事案件中</w:t>
      </w:r>
      <w:r w:rsidR="00C861F5">
        <w:rPr>
          <w:rFonts w:hint="eastAsia"/>
        </w:rPr>
        <w:t>平衡公正与效率</w:t>
      </w:r>
      <w:r w:rsidRPr="005661DE">
        <w:rPr>
          <w:rFonts w:hint="eastAsia"/>
        </w:rPr>
        <w:t>发挥了积极效果，但无容置疑在实践中仍然暴露了一些问题。为保障认罪认罚从宽制度正常运行</w:t>
      </w:r>
      <w:r w:rsidR="00B34049" w:rsidRPr="005661DE">
        <w:rPr>
          <w:rFonts w:hint="eastAsia"/>
        </w:rPr>
        <w:t>，有必要对这些存在的问题进行归纳梳理，以促进检察机关量刑建议权</w:t>
      </w:r>
      <w:r w:rsidR="00BE6BED" w:rsidRPr="005661DE">
        <w:rPr>
          <w:rFonts w:hint="eastAsia"/>
        </w:rPr>
        <w:t>合理化、</w:t>
      </w:r>
      <w:r w:rsidRPr="005661DE">
        <w:rPr>
          <w:rFonts w:hint="eastAsia"/>
        </w:rPr>
        <w:t>规</w:t>
      </w:r>
      <w:r w:rsidR="00BE6BED" w:rsidRPr="005661DE">
        <w:rPr>
          <w:rFonts w:hint="eastAsia"/>
        </w:rPr>
        <w:t>范化发展</w:t>
      </w:r>
      <w:r w:rsidRPr="005661DE">
        <w:rPr>
          <w:rFonts w:hint="eastAsia"/>
        </w:rPr>
        <w:t>。从量刑建议权行使的实践看，检察机关量刑建议存在的主要问题表现在：</w:t>
      </w:r>
    </w:p>
    <w:p w14:paraId="0AA7D804" w14:textId="77777777" w:rsidR="009E688C" w:rsidRPr="005661DE" w:rsidRDefault="009E688C" w:rsidP="008C2522">
      <w:pPr>
        <w:pStyle w:val="2"/>
        <w:snapToGrid w:val="0"/>
      </w:pPr>
      <w:bookmarkStart w:id="40" w:name="_Toc36842055"/>
      <w:bookmarkStart w:id="41" w:name="_Toc36844727"/>
      <w:r w:rsidRPr="005661DE">
        <w:rPr>
          <w:rFonts w:hint="eastAsia"/>
        </w:rPr>
        <w:t>（一）量刑建议模式选择不合理</w:t>
      </w:r>
      <w:bookmarkEnd w:id="40"/>
      <w:bookmarkEnd w:id="41"/>
    </w:p>
    <w:p w14:paraId="6416D38A" w14:textId="77777777" w:rsidR="009E688C" w:rsidRPr="005661DE" w:rsidRDefault="009E688C" w:rsidP="008C2522">
      <w:pPr>
        <w:snapToGrid w:val="0"/>
        <w:spacing w:line="300" w:lineRule="auto"/>
      </w:pPr>
      <w:r w:rsidRPr="005661DE">
        <w:rPr>
          <w:rFonts w:hint="eastAsia"/>
        </w:rPr>
        <w:t>现阶段，检察机关行使量刑建议权的模式主要有三种：一是绝对确定的量刑建议，如</w:t>
      </w:r>
      <w:r w:rsidR="002C75D7" w:rsidRPr="005661DE">
        <w:rPr>
          <w:rFonts w:hint="eastAsia"/>
        </w:rPr>
        <w:t>建议</w:t>
      </w:r>
      <w:r w:rsidRPr="005661DE">
        <w:rPr>
          <w:rFonts w:hint="eastAsia"/>
        </w:rPr>
        <w:t>判处有期徒刑三年；二是相对确定的量刑建议，即在</w:t>
      </w:r>
      <w:r w:rsidR="002C75D7" w:rsidRPr="005661DE">
        <w:rPr>
          <w:rFonts w:hint="eastAsia"/>
        </w:rPr>
        <w:t>法律规定的量刑范围内</w:t>
      </w:r>
      <w:r w:rsidRPr="005661DE">
        <w:rPr>
          <w:rFonts w:hint="eastAsia"/>
        </w:rPr>
        <w:t>，提出相对具体的但存在幅度的量刑建议；三是概括的量刑建议，提出量刑依据的法律条文，建议在法定刑幅度内量刑。理论界和学者对三种模式的选择上存在着争议。反对绝对确定的量刑建议者，认为这“代行了审判机关的刑罚裁量权，突破了人民检察院求刑权的范围”。</w:t>
      </w:r>
      <w:r w:rsidRPr="006146D6">
        <w:rPr>
          <w:vertAlign w:val="superscript"/>
        </w:rPr>
        <w:footnoteReference w:id="25"/>
      </w:r>
    </w:p>
    <w:p w14:paraId="5ABE36EA" w14:textId="77777777" w:rsidR="009E688C" w:rsidRPr="005661DE" w:rsidRDefault="009E688C" w:rsidP="008C2522">
      <w:pPr>
        <w:snapToGrid w:val="0"/>
        <w:spacing w:line="300" w:lineRule="auto"/>
      </w:pPr>
      <w:r w:rsidRPr="005661DE">
        <w:rPr>
          <w:rFonts w:hint="eastAsia"/>
        </w:rPr>
        <w:t>从收集的数据可以得知，实践中有</w:t>
      </w:r>
      <w:r w:rsidRPr="005661DE">
        <w:t>2/3</w:t>
      </w:r>
      <w:r w:rsidRPr="005661DE">
        <w:rPr>
          <w:rFonts w:hint="eastAsia"/>
        </w:rPr>
        <w:t>以上的量刑</w:t>
      </w:r>
      <w:r w:rsidR="00943333" w:rsidRPr="005661DE">
        <w:rPr>
          <w:rFonts w:hint="eastAsia"/>
        </w:rPr>
        <w:t>建议采用非绝对确定的模式。《认罪认罚案件大数据报告》的数据显示：被告人内心对刑罚预期</w:t>
      </w:r>
      <w:r w:rsidR="007370AE" w:rsidRPr="005661DE">
        <w:rPr>
          <w:rFonts w:hint="eastAsia"/>
        </w:rPr>
        <w:t>较低，认为自己应免于刑罚或适用缓刑，</w:t>
      </w:r>
      <w:r w:rsidR="00943333" w:rsidRPr="005661DE">
        <w:rPr>
          <w:rFonts w:hint="eastAsia"/>
        </w:rPr>
        <w:t>但法庭审判结果</w:t>
      </w:r>
      <w:r w:rsidR="007370AE" w:rsidRPr="005661DE">
        <w:rPr>
          <w:rFonts w:hint="eastAsia"/>
        </w:rPr>
        <w:t>与其预期差异</w:t>
      </w:r>
      <w:r w:rsidR="00943333" w:rsidRPr="005661DE">
        <w:rPr>
          <w:rFonts w:hint="eastAsia"/>
        </w:rPr>
        <w:t>较大，将直接导致被告人选择上诉寻求救济。</w:t>
      </w:r>
      <w:r w:rsidRPr="006146D6">
        <w:rPr>
          <w:vertAlign w:val="superscript"/>
        </w:rPr>
        <w:footnoteReference w:id="26"/>
      </w:r>
      <w:r w:rsidR="00AE2FE3" w:rsidRPr="005661DE">
        <w:rPr>
          <w:rFonts w:hint="eastAsia"/>
        </w:rPr>
        <w:t>检察机关的</w:t>
      </w:r>
      <w:r w:rsidR="00F74FBC" w:rsidRPr="005661DE">
        <w:rPr>
          <w:rFonts w:hint="eastAsia"/>
        </w:rPr>
        <w:t>量刑建议幅度</w:t>
      </w:r>
      <w:r w:rsidR="00AE2FE3" w:rsidRPr="005661DE">
        <w:rPr>
          <w:rFonts w:hint="eastAsia"/>
        </w:rPr>
        <w:t>宽泛</w:t>
      </w:r>
      <w:r w:rsidR="00F74FBC" w:rsidRPr="005661DE">
        <w:rPr>
          <w:rFonts w:hint="eastAsia"/>
        </w:rPr>
        <w:t>，</w:t>
      </w:r>
      <w:r w:rsidR="0034097F" w:rsidRPr="005661DE">
        <w:rPr>
          <w:rFonts w:hint="eastAsia"/>
        </w:rPr>
        <w:t>造成</w:t>
      </w:r>
      <w:r w:rsidR="00F74FBC" w:rsidRPr="005661DE">
        <w:rPr>
          <w:rFonts w:hint="eastAsia"/>
        </w:rPr>
        <w:t>被告人对自己</w:t>
      </w:r>
      <w:r w:rsidR="00606C8F" w:rsidRPr="005661DE">
        <w:rPr>
          <w:rFonts w:hint="eastAsia"/>
        </w:rPr>
        <w:t>应</w:t>
      </w:r>
      <w:r w:rsidR="00F74FBC" w:rsidRPr="005661DE">
        <w:rPr>
          <w:rFonts w:hint="eastAsia"/>
        </w:rPr>
        <w:t>处</w:t>
      </w:r>
      <w:r w:rsidR="00606C8F" w:rsidRPr="005661DE">
        <w:rPr>
          <w:rFonts w:hint="eastAsia"/>
        </w:rPr>
        <w:t>的</w:t>
      </w:r>
      <w:r w:rsidR="00F74FBC" w:rsidRPr="005661DE">
        <w:rPr>
          <w:rFonts w:hint="eastAsia"/>
        </w:rPr>
        <w:t>刑罚</w:t>
      </w:r>
      <w:r w:rsidR="0034097F" w:rsidRPr="005661DE">
        <w:rPr>
          <w:rFonts w:hint="eastAsia"/>
        </w:rPr>
        <w:t>没有一个明确预期</w:t>
      </w:r>
      <w:r w:rsidR="00F74FBC" w:rsidRPr="005661DE">
        <w:rPr>
          <w:rFonts w:hint="eastAsia"/>
        </w:rPr>
        <w:t>，</w:t>
      </w:r>
      <w:r w:rsidR="00AE2FE3" w:rsidRPr="005661DE">
        <w:rPr>
          <w:rFonts w:hint="eastAsia"/>
        </w:rPr>
        <w:t>他们往往</w:t>
      </w:r>
      <w:r w:rsidR="0034097F" w:rsidRPr="005661DE">
        <w:rPr>
          <w:rFonts w:hint="eastAsia"/>
        </w:rPr>
        <w:t>将</w:t>
      </w:r>
      <w:r w:rsidR="00AE2FE3" w:rsidRPr="005661DE">
        <w:rPr>
          <w:rFonts w:hint="eastAsia"/>
        </w:rPr>
        <w:t>检察官提出量刑建议的最低刑作为</w:t>
      </w:r>
      <w:r w:rsidR="0034097F" w:rsidRPr="005661DE">
        <w:rPr>
          <w:rFonts w:hint="eastAsia"/>
        </w:rPr>
        <w:t>标准。</w:t>
      </w:r>
      <w:r w:rsidR="00AE2FE3" w:rsidRPr="005661DE">
        <w:rPr>
          <w:rFonts w:hint="eastAsia"/>
        </w:rPr>
        <w:t>当</w:t>
      </w:r>
      <w:r w:rsidR="0034097F" w:rsidRPr="005661DE">
        <w:rPr>
          <w:rFonts w:hint="eastAsia"/>
        </w:rPr>
        <w:t>最终量刑结果超过预期时，被告人希望通过上诉</w:t>
      </w:r>
      <w:r w:rsidR="00CA074F" w:rsidRPr="005661DE">
        <w:rPr>
          <w:rFonts w:hint="eastAsia"/>
        </w:rPr>
        <w:t>获得较轻的</w:t>
      </w:r>
      <w:r w:rsidR="00606C8F" w:rsidRPr="005661DE">
        <w:rPr>
          <w:rFonts w:hint="eastAsia"/>
        </w:rPr>
        <w:t>刑罚</w:t>
      </w:r>
      <w:r w:rsidRPr="005661DE">
        <w:rPr>
          <w:rFonts w:hint="eastAsia"/>
        </w:rPr>
        <w:t>。通过笔者的调查与分析，检察机关在实践中更多选择带有幅度的量刑建议，一方面是因为司法实践中检察机关自身存在畏难情绪，担心对案件的量刑把握不准确，同时因训练不足，缺少提出绝对准确的量刑建议的工作经验和能力；另一方面，检察机关将检察官的案件量刑建议采纳率作为考评标准，这大大降低了检察官提出准确量刑建议的积极性。</w:t>
      </w:r>
      <w:r w:rsidR="007370AE" w:rsidRPr="005661DE">
        <w:rPr>
          <w:rFonts w:hint="eastAsia"/>
        </w:rPr>
        <w:t>承办案件检察官</w:t>
      </w:r>
      <w:r w:rsidR="0088161C" w:rsidRPr="005661DE">
        <w:rPr>
          <w:rFonts w:hint="eastAsia"/>
        </w:rPr>
        <w:t>为使量刑建议得到法庭的认可，获得较高的采纳率，</w:t>
      </w:r>
      <w:r w:rsidR="007370AE" w:rsidRPr="005661DE">
        <w:rPr>
          <w:rFonts w:hint="eastAsia"/>
        </w:rPr>
        <w:t>顺利通过考核或在评选评优中具备良好的业务</w:t>
      </w:r>
      <w:r w:rsidR="0088161C" w:rsidRPr="005661DE">
        <w:rPr>
          <w:rFonts w:hint="eastAsia"/>
        </w:rPr>
        <w:t>成果</w:t>
      </w:r>
      <w:r w:rsidR="007370AE" w:rsidRPr="005661DE">
        <w:rPr>
          <w:rFonts w:hint="eastAsia"/>
        </w:rPr>
        <w:t>，</w:t>
      </w:r>
      <w:r w:rsidRPr="005661DE">
        <w:rPr>
          <w:rFonts w:hint="eastAsia"/>
        </w:rPr>
        <w:t>检察官更乐于选择带有幅度的量刑建议模式。本已达成量刑合意的被告人判决后又选择上诉，会直接影响认罪认罚从宽制度的推行，难以达到提高诉讼效率，实现公平正义的目的。</w:t>
      </w:r>
    </w:p>
    <w:p w14:paraId="4E4D8A6B" w14:textId="77777777" w:rsidR="009E688C" w:rsidRPr="005661DE" w:rsidRDefault="009E688C" w:rsidP="008C2522">
      <w:pPr>
        <w:pStyle w:val="2"/>
        <w:snapToGrid w:val="0"/>
      </w:pPr>
      <w:bookmarkStart w:id="42" w:name="_Toc36842056"/>
      <w:bookmarkStart w:id="43" w:name="_Toc36844728"/>
      <w:r w:rsidRPr="005661DE">
        <w:rPr>
          <w:rFonts w:hint="eastAsia"/>
        </w:rPr>
        <w:t>（二）量刑建议实体标准不统一</w:t>
      </w:r>
      <w:bookmarkEnd w:id="42"/>
      <w:bookmarkEnd w:id="43"/>
    </w:p>
    <w:p w14:paraId="0FC41BCB" w14:textId="77777777" w:rsidR="009E688C" w:rsidRPr="005661DE" w:rsidRDefault="009E688C" w:rsidP="008C2522">
      <w:pPr>
        <w:snapToGrid w:val="0"/>
        <w:spacing w:line="300" w:lineRule="auto"/>
      </w:pPr>
      <w:r w:rsidRPr="005661DE">
        <w:rPr>
          <w:rFonts w:hint="eastAsia"/>
        </w:rPr>
        <w:t>法律规定法院在审理案件时，除例外的情况，一般应当采纳检察机关的量刑建议，这就要求制定全国统一的量刑标准。各地开展的量刑建议工作缺乏明确具体的统一标准，导致了在操作上产生了较大的差异。区域之间量刑建议的开展情况呈现出不均衡的现象，有些地区积极探索，认罪认罚案件大幅度上升，而有的地方《刑事诉讼法》已实施近一年，仍等着上级发文件才开展量刑建议工作。同时很多量刑标准仅在机关内部执行，并不对外公布，很多量刑标准只是法院内部的规定，检察官行使量刑建议权时无从知晓。这使得检察机关与审判机关之间、各地司法机关之间，在同一个罪行如何确定量刑标准缺乏统一标准，失去量刑建议权与量刑裁判权之间的制约，难以实现量刑建议的和均衡性和公正性。</w:t>
      </w:r>
    </w:p>
    <w:p w14:paraId="716AE3F4" w14:textId="77777777" w:rsidR="009E688C" w:rsidRPr="005661DE" w:rsidRDefault="009E688C" w:rsidP="008C2522">
      <w:pPr>
        <w:snapToGrid w:val="0"/>
        <w:spacing w:line="300" w:lineRule="auto"/>
      </w:pPr>
      <w:r w:rsidRPr="005661DE">
        <w:rPr>
          <w:rFonts w:hint="eastAsia"/>
        </w:rPr>
        <w:t>法定刑作为各罪名所规定的刑罚标准，是最基本的量刑标准。在《刑法》分则规定的法定刑中，主要的法定刑是三年以下有期徒刑、拘役或管制、五年以下有期徒刑、十年以上有</w:t>
      </w:r>
      <w:r w:rsidRPr="005661DE">
        <w:rPr>
          <w:rFonts w:hint="eastAsia"/>
        </w:rPr>
        <w:lastRenderedPageBreak/>
        <w:t>期徒刑等，刑罚标准普遍幅</w:t>
      </w:r>
      <w:r w:rsidR="00E65404" w:rsidRPr="005661DE">
        <w:rPr>
          <w:rFonts w:hint="eastAsia"/>
        </w:rPr>
        <w:t>度宽泛。</w:t>
      </w:r>
      <w:r w:rsidRPr="005661DE">
        <w:rPr>
          <w:rFonts w:hint="eastAsia"/>
        </w:rPr>
        <w:t>检察官和法官</w:t>
      </w:r>
      <w:r w:rsidR="00E65404" w:rsidRPr="005661DE">
        <w:rPr>
          <w:rFonts w:hint="eastAsia"/>
        </w:rPr>
        <w:t>如只是简单套用法定刑标准，</w:t>
      </w:r>
      <w:r w:rsidRPr="005661DE">
        <w:rPr>
          <w:rFonts w:hint="eastAsia"/>
        </w:rPr>
        <w:t>在法律运用上仍具有较大空间的自由裁量权。现阶段的量刑指导意见最高法只涵盖了</w:t>
      </w:r>
      <w:r w:rsidRPr="005661DE">
        <w:t>23</w:t>
      </w:r>
      <w:r w:rsidRPr="005661DE">
        <w:rPr>
          <w:rFonts w:hint="eastAsia"/>
        </w:rPr>
        <w:t>种罪名，且仅由最高法院一家制定。这种法院一家制定的量刑规范化指导意见，能否对检察机关产生约束力尚待明确。实践中，量刑指导意见既是法官行使量刑裁判权的依据，也是检察机关提出量刑建议的参考，是对法院的最终判决正当与否进行评判的根据，甚至是认罪认罚案件中犯罪嫌疑人在量刑协商中对量刑预期的理由。仅由一家制定的量刑指导意见已难以满足认罪认罚从宽案件中量刑建议的发展和需求。</w:t>
      </w:r>
    </w:p>
    <w:p w14:paraId="2CB80419" w14:textId="77777777" w:rsidR="009E688C" w:rsidRPr="005661DE" w:rsidRDefault="009E688C" w:rsidP="008C2522">
      <w:pPr>
        <w:pStyle w:val="2"/>
        <w:snapToGrid w:val="0"/>
      </w:pPr>
      <w:bookmarkStart w:id="44" w:name="_Toc36842057"/>
      <w:bookmarkStart w:id="45" w:name="_Toc36844729"/>
      <w:r w:rsidRPr="005661DE">
        <w:rPr>
          <w:rFonts w:hint="eastAsia"/>
        </w:rPr>
        <w:t>（三）量刑协商程序缺位</w:t>
      </w:r>
      <w:bookmarkEnd w:id="44"/>
      <w:bookmarkEnd w:id="45"/>
    </w:p>
    <w:p w14:paraId="2A8201AF" w14:textId="77777777" w:rsidR="009E688C" w:rsidRPr="005661DE" w:rsidRDefault="00175484" w:rsidP="008C2522">
      <w:pPr>
        <w:snapToGrid w:val="0"/>
        <w:spacing w:line="300" w:lineRule="auto"/>
      </w:pPr>
      <w:bookmarkStart w:id="46" w:name="OLE_LINK1"/>
      <w:bookmarkStart w:id="47" w:name="OLE_LINK2"/>
      <w:r w:rsidRPr="005661DE">
        <w:rPr>
          <w:rFonts w:hint="eastAsia"/>
        </w:rPr>
        <w:t>认罪认罚从宽制度大力推行，我国刑事诉讼</w:t>
      </w:r>
      <w:r w:rsidR="009E688C" w:rsidRPr="005661DE">
        <w:rPr>
          <w:rFonts w:hint="eastAsia"/>
        </w:rPr>
        <w:t>司法</w:t>
      </w:r>
      <w:r w:rsidRPr="005661DE">
        <w:rPr>
          <w:rFonts w:hint="eastAsia"/>
        </w:rPr>
        <w:t>活动中控辩双方力量对比悬殊</w:t>
      </w:r>
      <w:r w:rsidR="009E688C" w:rsidRPr="005661DE">
        <w:rPr>
          <w:rFonts w:hint="eastAsia"/>
        </w:rPr>
        <w:t>以及</w:t>
      </w:r>
      <w:r w:rsidRPr="005661DE">
        <w:rPr>
          <w:rFonts w:hint="eastAsia"/>
        </w:rPr>
        <w:t>刑事案件</w:t>
      </w:r>
      <w:r w:rsidR="009E688C" w:rsidRPr="005661DE">
        <w:rPr>
          <w:rFonts w:hint="eastAsia"/>
        </w:rPr>
        <w:t>辩护率低下的现状</w:t>
      </w:r>
      <w:r w:rsidRPr="005661DE">
        <w:rPr>
          <w:rFonts w:hint="eastAsia"/>
        </w:rPr>
        <w:t>应得到学界和立法者的重视</w:t>
      </w:r>
      <w:r w:rsidR="00FB0758" w:rsidRPr="005661DE">
        <w:rPr>
          <w:rFonts w:hint="eastAsia"/>
        </w:rPr>
        <w:t>。当前的量刑协商工作还比较粗放</w:t>
      </w:r>
      <w:r w:rsidR="00F251EE">
        <w:rPr>
          <w:rFonts w:hint="eastAsia"/>
        </w:rPr>
        <w:t>且制度和规则的制定上都不够科学</w:t>
      </w:r>
      <w:r w:rsidR="00FB0758" w:rsidRPr="005661DE">
        <w:rPr>
          <w:rFonts w:hint="eastAsia"/>
        </w:rPr>
        <w:t>，相关制度规定比较笼统</w:t>
      </w:r>
      <w:r w:rsidR="009E688C" w:rsidRPr="005661DE">
        <w:rPr>
          <w:rFonts w:hint="eastAsia"/>
        </w:rPr>
        <w:t>，各地都在使用自己的规则，</w:t>
      </w:r>
      <w:r w:rsidRPr="005661DE">
        <w:rPr>
          <w:rFonts w:hint="eastAsia"/>
        </w:rPr>
        <w:t>由于实践中存在一些不稳定的因素，</w:t>
      </w:r>
      <w:r w:rsidR="009E688C" w:rsidRPr="005661DE">
        <w:rPr>
          <w:rFonts w:hint="eastAsia"/>
        </w:rPr>
        <w:t>统一的认罪认罚从宽案件的量刑协商程序尚未建立。部分地区的检察机关存在一味追求“快”的情况，忽视了认罪认罚从宽制度本身的目标。调研显示，在有的地方，各机关相互协作将整个案件诉讼过程压缩至</w:t>
      </w:r>
      <w:r w:rsidR="009E688C" w:rsidRPr="005661DE">
        <w:t>24</w:t>
      </w:r>
      <w:r w:rsidR="009E688C" w:rsidRPr="005661DE">
        <w:rPr>
          <w:rFonts w:hint="eastAsia"/>
        </w:rPr>
        <w:t>小时以下，甚至有</w:t>
      </w:r>
      <w:r w:rsidR="00315097" w:rsidRPr="005661DE">
        <w:rPr>
          <w:rFonts w:hint="eastAsia"/>
        </w:rPr>
        <w:t>的在</w:t>
      </w:r>
      <w:r w:rsidR="009E688C" w:rsidRPr="005661DE">
        <w:t>22</w:t>
      </w:r>
      <w:r w:rsidR="009E688C" w:rsidRPr="005661DE">
        <w:rPr>
          <w:rFonts w:hint="eastAsia"/>
        </w:rPr>
        <w:t>小时内同时完成</w:t>
      </w:r>
      <w:r w:rsidR="009E688C" w:rsidRPr="005661DE">
        <w:t>9</w:t>
      </w:r>
      <w:r w:rsidR="009E688C" w:rsidRPr="005661DE">
        <w:rPr>
          <w:rFonts w:hint="eastAsia"/>
        </w:rPr>
        <w:t>起案件的侦查、起诉、审判的全过程。</w:t>
      </w:r>
      <w:r w:rsidR="009E688C" w:rsidRPr="006146D6">
        <w:rPr>
          <w:vertAlign w:val="superscript"/>
        </w:rPr>
        <w:footnoteReference w:id="27"/>
      </w:r>
      <w:r w:rsidR="009E688C" w:rsidRPr="005661DE">
        <w:rPr>
          <w:rFonts w:hint="eastAsia"/>
        </w:rPr>
        <w:t>快速的诉讼过程无疑会剥夺被告人考虑认罪认罚的时间，</w:t>
      </w:r>
      <w:r w:rsidR="00FB0758" w:rsidRPr="005661DE">
        <w:rPr>
          <w:rFonts w:hint="eastAsia"/>
        </w:rPr>
        <w:t>迫使被告人认罪认罚，</w:t>
      </w:r>
      <w:r w:rsidR="009E688C" w:rsidRPr="005661DE">
        <w:rPr>
          <w:rFonts w:hint="eastAsia"/>
        </w:rPr>
        <w:t>从而影响被告人认罪认罚的自愿性。</w:t>
      </w:r>
    </w:p>
    <w:p w14:paraId="58875ECE" w14:textId="77777777" w:rsidR="009E688C" w:rsidRPr="005661DE" w:rsidRDefault="009E688C" w:rsidP="008C2522">
      <w:pPr>
        <w:snapToGrid w:val="0"/>
        <w:spacing w:line="300" w:lineRule="auto"/>
      </w:pPr>
      <w:r w:rsidRPr="005661DE">
        <w:rPr>
          <w:rFonts w:hint="eastAsia"/>
        </w:rPr>
        <w:t>现量刑协商程序的规范缺位，直接导致了司法实践的混乱，且存在协商环节控辩</w:t>
      </w:r>
      <w:bookmarkEnd w:id="46"/>
      <w:bookmarkEnd w:id="47"/>
      <w:r w:rsidRPr="005661DE">
        <w:rPr>
          <w:rFonts w:hint="eastAsia"/>
        </w:rPr>
        <w:t>双方</w:t>
      </w:r>
      <w:r w:rsidR="00FE35AA" w:rsidRPr="005661DE">
        <w:rPr>
          <w:rFonts w:hint="eastAsia"/>
        </w:rPr>
        <w:t>严重失衡的情况。检察机关在量刑协商</w:t>
      </w:r>
      <w:r w:rsidR="00D32FC9" w:rsidRPr="005661DE">
        <w:rPr>
          <w:rFonts w:hint="eastAsia"/>
        </w:rPr>
        <w:t>过程中的主导地位有可能导致</w:t>
      </w:r>
      <w:r w:rsidRPr="005661DE">
        <w:rPr>
          <w:rFonts w:hint="eastAsia"/>
        </w:rPr>
        <w:t>被告人</w:t>
      </w:r>
      <w:r w:rsidR="00D32FC9" w:rsidRPr="005661DE">
        <w:rPr>
          <w:rFonts w:hint="eastAsia"/>
        </w:rPr>
        <w:t>一方</w:t>
      </w:r>
      <w:r w:rsidRPr="005661DE">
        <w:rPr>
          <w:rFonts w:hint="eastAsia"/>
        </w:rPr>
        <w:t>对认罪认罚从宽制度</w:t>
      </w:r>
      <w:r w:rsidR="00D32FC9" w:rsidRPr="005661DE">
        <w:rPr>
          <w:rFonts w:hint="eastAsia"/>
        </w:rPr>
        <w:t>产生误解。</w:t>
      </w:r>
      <w:r w:rsidR="009B6E8E" w:rsidRPr="005661DE">
        <w:rPr>
          <w:rFonts w:hint="eastAsia"/>
        </w:rPr>
        <w:t>由于检察官尚不能</w:t>
      </w:r>
      <w:r w:rsidRPr="005661DE">
        <w:rPr>
          <w:rFonts w:hint="eastAsia"/>
        </w:rPr>
        <w:t>明确地给予</w:t>
      </w:r>
      <w:r w:rsidR="00D32FC9" w:rsidRPr="005661DE">
        <w:rPr>
          <w:rFonts w:hint="eastAsia"/>
        </w:rPr>
        <w:t>辩方</w:t>
      </w:r>
      <w:r w:rsidR="009B6E8E" w:rsidRPr="005661DE">
        <w:rPr>
          <w:rFonts w:hint="eastAsia"/>
        </w:rPr>
        <w:t>可预期的量刑结论，导致无法支撑检察机关量刑协商过程中的主导地位</w:t>
      </w:r>
      <w:r w:rsidRPr="005661DE">
        <w:rPr>
          <w:rFonts w:hint="eastAsia"/>
        </w:rPr>
        <w:t>。</w:t>
      </w:r>
      <w:r w:rsidRPr="006146D6">
        <w:rPr>
          <w:vertAlign w:val="superscript"/>
        </w:rPr>
        <w:footnoteReference w:id="28"/>
      </w:r>
      <w:r w:rsidRPr="005661DE">
        <w:rPr>
          <w:rFonts w:hint="eastAsia"/>
        </w:rPr>
        <w:t>据统计，“福清市法院受理的刑事速裁程序案件中，文盲的被告人占</w:t>
      </w:r>
      <w:r w:rsidRPr="005661DE">
        <w:t>5.19%</w:t>
      </w:r>
      <w:r w:rsidRPr="005661DE">
        <w:rPr>
          <w:rFonts w:hint="eastAsia"/>
        </w:rPr>
        <w:t>，小学文化占</w:t>
      </w:r>
      <w:r w:rsidRPr="005661DE">
        <w:t>40.26%</w:t>
      </w:r>
      <w:r w:rsidRPr="005661DE">
        <w:rPr>
          <w:rFonts w:hint="eastAsia"/>
        </w:rPr>
        <w:t>，中学文化占</w:t>
      </w:r>
      <w:r w:rsidRPr="005661DE">
        <w:t>53.25%</w:t>
      </w:r>
      <w:r w:rsidRPr="005661DE">
        <w:rPr>
          <w:rFonts w:hint="eastAsia"/>
        </w:rPr>
        <w:t>，大专以上文化占</w:t>
      </w:r>
      <w:r w:rsidRPr="005661DE">
        <w:t>1.3%</w:t>
      </w:r>
      <w:r w:rsidRPr="005661DE">
        <w:rPr>
          <w:rFonts w:hint="eastAsia"/>
        </w:rPr>
        <w:t>。”</w:t>
      </w:r>
      <w:r w:rsidRPr="006146D6">
        <w:rPr>
          <w:vertAlign w:val="superscript"/>
        </w:rPr>
        <w:footnoteReference w:id="29"/>
      </w:r>
      <w:r w:rsidRPr="005661DE">
        <w:rPr>
          <w:rFonts w:hint="eastAsia"/>
        </w:rPr>
        <w:t>大多数被告人法律知识有限，现行值班律师提供的法律帮助不能满足实</w:t>
      </w:r>
      <w:r w:rsidR="00367CA0" w:rsidRPr="005661DE">
        <w:rPr>
          <w:rFonts w:hint="eastAsia"/>
        </w:rPr>
        <w:t>际情况。在司法实践</w:t>
      </w:r>
      <w:r w:rsidR="009B6E8E" w:rsidRPr="005661DE">
        <w:rPr>
          <w:rFonts w:hint="eastAsia"/>
        </w:rPr>
        <w:t>中，由于</w:t>
      </w:r>
      <w:r w:rsidRPr="005661DE">
        <w:rPr>
          <w:rFonts w:hint="eastAsia"/>
        </w:rPr>
        <w:t>操作流程</w:t>
      </w:r>
      <w:r w:rsidR="009B6E8E" w:rsidRPr="005661DE">
        <w:rPr>
          <w:rFonts w:hint="eastAsia"/>
        </w:rPr>
        <w:t>规范并未形成</w:t>
      </w:r>
      <w:r w:rsidRPr="005661DE">
        <w:rPr>
          <w:rFonts w:hint="eastAsia"/>
        </w:rPr>
        <w:t>，检察官、被告人及其律师三方在场的协商格局尚未完全形成。</w:t>
      </w:r>
      <w:r w:rsidR="009B6E8E" w:rsidRPr="005661DE">
        <w:rPr>
          <w:rFonts w:hint="eastAsia"/>
        </w:rPr>
        <w:t>《刑事诉讼法》规定，被告人认罪认罚的，要在律师在场下签署具结书。</w:t>
      </w:r>
      <w:r w:rsidR="009752DC" w:rsidRPr="005661DE">
        <w:rPr>
          <w:rFonts w:hint="eastAsia"/>
        </w:rPr>
        <w:t>而在大多数案件中，只有检察官与被告人参与量刑</w:t>
      </w:r>
      <w:r w:rsidRPr="005661DE">
        <w:rPr>
          <w:rFonts w:hint="eastAsia"/>
        </w:rPr>
        <w:t>协商过程，由于被告人自身</w:t>
      </w:r>
      <w:r w:rsidR="009752DC" w:rsidRPr="005661DE">
        <w:rPr>
          <w:rFonts w:hint="eastAsia"/>
        </w:rPr>
        <w:t>法律知识不足等客观原因</w:t>
      </w:r>
      <w:r w:rsidRPr="005661DE">
        <w:rPr>
          <w:rFonts w:hint="eastAsia"/>
        </w:rPr>
        <w:t>并不具备</w:t>
      </w:r>
      <w:r w:rsidR="009752DC" w:rsidRPr="005661DE">
        <w:rPr>
          <w:rFonts w:hint="eastAsia"/>
        </w:rPr>
        <w:t>与国</w:t>
      </w:r>
      <w:r w:rsidR="00315097" w:rsidRPr="005661DE">
        <w:rPr>
          <w:rFonts w:hint="eastAsia"/>
        </w:rPr>
        <w:t>家司法</w:t>
      </w:r>
      <w:r w:rsidR="009752DC" w:rsidRPr="005661DE">
        <w:rPr>
          <w:rFonts w:hint="eastAsia"/>
        </w:rPr>
        <w:t>机关进行</w:t>
      </w:r>
      <w:r w:rsidRPr="005661DE">
        <w:rPr>
          <w:rFonts w:hint="eastAsia"/>
        </w:rPr>
        <w:t>协商的能力，而且</w:t>
      </w:r>
      <w:r w:rsidR="00063265" w:rsidRPr="005661DE">
        <w:rPr>
          <w:rFonts w:hint="eastAsia"/>
        </w:rPr>
        <w:t>当下</w:t>
      </w:r>
      <w:r w:rsidRPr="005661DE">
        <w:rPr>
          <w:rFonts w:hint="eastAsia"/>
        </w:rPr>
        <w:t>值班律师</w:t>
      </w:r>
      <w:r w:rsidR="00CE6051" w:rsidRPr="005661DE">
        <w:rPr>
          <w:rFonts w:hint="eastAsia"/>
        </w:rPr>
        <w:t>的</w:t>
      </w:r>
      <w:r w:rsidRPr="005661DE">
        <w:rPr>
          <w:rFonts w:hint="eastAsia"/>
        </w:rPr>
        <w:t>法律地位</w:t>
      </w:r>
      <w:r w:rsidR="00CE6051" w:rsidRPr="005661DE">
        <w:rPr>
          <w:rFonts w:hint="eastAsia"/>
        </w:rPr>
        <w:t>并</w:t>
      </w:r>
      <w:r w:rsidRPr="005661DE">
        <w:rPr>
          <w:rFonts w:hint="eastAsia"/>
        </w:rPr>
        <w:t>不明确，</w:t>
      </w:r>
      <w:r w:rsidR="00175484" w:rsidRPr="005661DE">
        <w:rPr>
          <w:rFonts w:hint="eastAsia"/>
        </w:rPr>
        <w:t>律师</w:t>
      </w:r>
      <w:r w:rsidR="00367CA0" w:rsidRPr="005661DE">
        <w:rPr>
          <w:rFonts w:hint="eastAsia"/>
        </w:rPr>
        <w:t>提供的法律咨询存在形式化的问题，</w:t>
      </w:r>
      <w:r w:rsidR="00175484" w:rsidRPr="005661DE">
        <w:rPr>
          <w:rFonts w:hint="eastAsia"/>
        </w:rPr>
        <w:t>即使参与</w:t>
      </w:r>
      <w:r w:rsidR="00695029" w:rsidRPr="005661DE">
        <w:rPr>
          <w:rFonts w:hint="eastAsia"/>
        </w:rPr>
        <w:t>到</w:t>
      </w:r>
      <w:r w:rsidR="00175484" w:rsidRPr="005661DE">
        <w:rPr>
          <w:rFonts w:hint="eastAsia"/>
        </w:rPr>
        <w:t>案件的协商程序中，</w:t>
      </w:r>
      <w:r w:rsidRPr="005661DE">
        <w:rPr>
          <w:rFonts w:hint="eastAsia"/>
        </w:rPr>
        <w:t>也</w:t>
      </w:r>
      <w:r w:rsidR="009752DC" w:rsidRPr="005661DE">
        <w:rPr>
          <w:rFonts w:hint="eastAsia"/>
        </w:rPr>
        <w:t>无法</w:t>
      </w:r>
      <w:r w:rsidR="00CE6051" w:rsidRPr="005661DE">
        <w:rPr>
          <w:rFonts w:hint="eastAsia"/>
        </w:rPr>
        <w:t>提供</w:t>
      </w:r>
      <w:r w:rsidR="00652D7E" w:rsidRPr="005661DE">
        <w:rPr>
          <w:rFonts w:hint="eastAsia"/>
        </w:rPr>
        <w:t>实际的法律帮助，导致控辩双方在量刑协商过程中无法平等抗衡</w:t>
      </w:r>
      <w:r w:rsidRPr="005661DE">
        <w:rPr>
          <w:rFonts w:hint="eastAsia"/>
        </w:rPr>
        <w:t>。</w:t>
      </w:r>
    </w:p>
    <w:p w14:paraId="5C4CE292" w14:textId="77777777" w:rsidR="009E688C" w:rsidRPr="005661DE" w:rsidRDefault="009E688C" w:rsidP="008C2522">
      <w:pPr>
        <w:pStyle w:val="2"/>
        <w:snapToGrid w:val="0"/>
      </w:pPr>
      <w:bookmarkStart w:id="48" w:name="_Toc36842058"/>
      <w:bookmarkStart w:id="49" w:name="_Toc36844730"/>
      <w:r w:rsidRPr="005661DE">
        <w:rPr>
          <w:rFonts w:hint="eastAsia"/>
        </w:rPr>
        <w:t>（四）权力监督制约力度不够</w:t>
      </w:r>
      <w:bookmarkEnd w:id="48"/>
      <w:bookmarkEnd w:id="49"/>
    </w:p>
    <w:p w14:paraId="0C9CDDCC" w14:textId="77777777" w:rsidR="009E688C" w:rsidRPr="005661DE" w:rsidRDefault="00827436" w:rsidP="008C2522">
      <w:pPr>
        <w:snapToGrid w:val="0"/>
        <w:spacing w:line="300" w:lineRule="auto"/>
      </w:pPr>
      <w:r w:rsidRPr="005661DE">
        <w:rPr>
          <w:rFonts w:hint="eastAsia"/>
        </w:rPr>
        <w:t>司法实践中，检察机关</w:t>
      </w:r>
      <w:r w:rsidR="00E06EF1" w:rsidRPr="005661DE">
        <w:rPr>
          <w:rFonts w:hint="eastAsia"/>
        </w:rPr>
        <w:t>提出的量刑建议的</w:t>
      </w:r>
      <w:r w:rsidR="009E688C" w:rsidRPr="005661DE">
        <w:rPr>
          <w:rFonts w:hint="eastAsia"/>
        </w:rPr>
        <w:t>采纳率</w:t>
      </w:r>
      <w:r w:rsidR="00E06EF1" w:rsidRPr="005661DE">
        <w:rPr>
          <w:rFonts w:hint="eastAsia"/>
        </w:rPr>
        <w:t>不断提高，显见其行使量刑建议对庭审活动</w:t>
      </w:r>
      <w:r w:rsidR="009E688C" w:rsidRPr="005661DE">
        <w:rPr>
          <w:rFonts w:hint="eastAsia"/>
        </w:rPr>
        <w:t>的影响力，</w:t>
      </w:r>
      <w:r w:rsidR="00E06EF1" w:rsidRPr="005661DE">
        <w:rPr>
          <w:rFonts w:hint="eastAsia"/>
        </w:rPr>
        <w:t>甚至对判决</w:t>
      </w:r>
      <w:r w:rsidR="009E688C" w:rsidRPr="005661DE">
        <w:rPr>
          <w:rFonts w:hint="eastAsia"/>
        </w:rPr>
        <w:t>结果起到决定性的作用。</w:t>
      </w:r>
      <w:r w:rsidR="00652D7E" w:rsidRPr="005661DE">
        <w:rPr>
          <w:rFonts w:hint="eastAsia"/>
        </w:rPr>
        <w:t>针对检察机关量刑建议的高采纳率这一现象，有学者认为：</w:t>
      </w:r>
      <w:r w:rsidR="00C24BD5" w:rsidRPr="005661DE">
        <w:rPr>
          <w:rFonts w:hint="eastAsia"/>
        </w:rPr>
        <w:t>我国量刑程序改革可能存在着一个隐性的风险，即面对法官的</w:t>
      </w:r>
      <w:r w:rsidR="000631EE" w:rsidRPr="005661DE">
        <w:rPr>
          <w:rFonts w:hint="eastAsia"/>
        </w:rPr>
        <w:t>自由裁量权</w:t>
      </w:r>
      <w:r w:rsidR="00652D7E" w:rsidRPr="005661DE">
        <w:rPr>
          <w:rFonts w:hint="eastAsia"/>
        </w:rPr>
        <w:t>受到限制</w:t>
      </w:r>
      <w:r w:rsidR="0077140C" w:rsidRPr="005661DE">
        <w:rPr>
          <w:rFonts w:hint="eastAsia"/>
        </w:rPr>
        <w:t>的情形下，而对于量刑结果辩护方又无法产生实质性影响，</w:t>
      </w:r>
      <w:r w:rsidR="00652D7E" w:rsidRPr="005661DE">
        <w:rPr>
          <w:rFonts w:hint="eastAsia"/>
        </w:rPr>
        <w:t>检察机关的量刑建议有可能拥有</w:t>
      </w:r>
      <w:r w:rsidR="002C2E5B" w:rsidRPr="005661DE">
        <w:rPr>
          <w:rFonts w:hint="eastAsia"/>
        </w:rPr>
        <w:t>绝对</w:t>
      </w:r>
      <w:r w:rsidR="009E688C" w:rsidRPr="005661DE">
        <w:rPr>
          <w:rFonts w:hint="eastAsia"/>
        </w:rPr>
        <w:t>的优势</w:t>
      </w:r>
      <w:r w:rsidR="00652D7E" w:rsidRPr="005661DE">
        <w:rPr>
          <w:rFonts w:hint="eastAsia"/>
        </w:rPr>
        <w:t>地位</w:t>
      </w:r>
      <w:r w:rsidR="009E688C" w:rsidRPr="005661DE">
        <w:rPr>
          <w:rFonts w:hint="eastAsia"/>
        </w:rPr>
        <w:t>，</w:t>
      </w:r>
      <w:r w:rsidR="002C2E5B" w:rsidRPr="005661DE">
        <w:rPr>
          <w:rFonts w:hint="eastAsia"/>
        </w:rPr>
        <w:t>从而</w:t>
      </w:r>
      <w:r w:rsidR="005750D9" w:rsidRPr="005661DE">
        <w:rPr>
          <w:rFonts w:hint="eastAsia"/>
        </w:rPr>
        <w:t>最终</w:t>
      </w:r>
      <w:r w:rsidR="002C2E5B" w:rsidRPr="005661DE">
        <w:rPr>
          <w:rFonts w:hint="eastAsia"/>
        </w:rPr>
        <w:t>成为影响</w:t>
      </w:r>
      <w:r w:rsidR="009E688C" w:rsidRPr="005661DE">
        <w:rPr>
          <w:rFonts w:hint="eastAsia"/>
        </w:rPr>
        <w:t>的</w:t>
      </w:r>
      <w:r w:rsidR="002C2E5B" w:rsidRPr="005661DE">
        <w:rPr>
          <w:rFonts w:hint="eastAsia"/>
        </w:rPr>
        <w:t>量刑判决的</w:t>
      </w:r>
      <w:r w:rsidR="00652D7E" w:rsidRPr="005661DE">
        <w:rPr>
          <w:rFonts w:hint="eastAsia"/>
        </w:rPr>
        <w:t>唯一</w:t>
      </w:r>
      <w:r w:rsidR="009E688C" w:rsidRPr="005661DE">
        <w:rPr>
          <w:rFonts w:hint="eastAsia"/>
        </w:rPr>
        <w:t>力量。</w:t>
      </w:r>
      <w:r w:rsidR="009E688C" w:rsidRPr="006146D6">
        <w:rPr>
          <w:vertAlign w:val="superscript"/>
        </w:rPr>
        <w:footnoteReference w:id="30"/>
      </w:r>
      <w:r w:rsidR="009E688C" w:rsidRPr="005661DE">
        <w:rPr>
          <w:rFonts w:hint="eastAsia"/>
        </w:rPr>
        <w:t>作为认罪认罚从宽案件诉讼程序中的关键一步，</w:t>
      </w:r>
      <w:r w:rsidR="00FE35AA" w:rsidRPr="005661DE">
        <w:rPr>
          <w:rFonts w:hint="eastAsia"/>
        </w:rPr>
        <w:t>检察机关的量刑建议权</w:t>
      </w:r>
      <w:r w:rsidR="009E688C" w:rsidRPr="005661DE">
        <w:rPr>
          <w:rFonts w:hint="eastAsia"/>
        </w:rPr>
        <w:t>应当由多个主体对其进行有力监督，</w:t>
      </w:r>
      <w:r w:rsidR="009E688C" w:rsidRPr="005661DE">
        <w:rPr>
          <w:rFonts w:hint="eastAsia"/>
        </w:rPr>
        <w:lastRenderedPageBreak/>
        <w:t>以限制其自由裁量权，保障量</w:t>
      </w:r>
      <w:r w:rsidR="005750D9" w:rsidRPr="005661DE">
        <w:rPr>
          <w:rFonts w:hint="eastAsia"/>
        </w:rPr>
        <w:t>刑建议权</w:t>
      </w:r>
      <w:r w:rsidR="009E688C" w:rsidRPr="005661DE">
        <w:rPr>
          <w:rFonts w:hint="eastAsia"/>
        </w:rPr>
        <w:t>公正</w:t>
      </w:r>
      <w:r w:rsidR="005750D9" w:rsidRPr="005661DE">
        <w:rPr>
          <w:rFonts w:hint="eastAsia"/>
        </w:rPr>
        <w:t>地运作</w:t>
      </w:r>
      <w:r w:rsidR="009E688C" w:rsidRPr="005661DE">
        <w:rPr>
          <w:rFonts w:hint="eastAsia"/>
        </w:rPr>
        <w:t>。</w:t>
      </w:r>
    </w:p>
    <w:p w14:paraId="78F59E04" w14:textId="77777777" w:rsidR="009E688C" w:rsidRPr="005661DE" w:rsidRDefault="005750D9" w:rsidP="008C2522">
      <w:pPr>
        <w:snapToGrid w:val="0"/>
        <w:spacing w:line="300" w:lineRule="auto"/>
      </w:pPr>
      <w:r w:rsidRPr="005661DE">
        <w:rPr>
          <w:rFonts w:hint="eastAsia"/>
        </w:rPr>
        <w:t>对于检察机关而言，量刑建议得到法院的高度采纳</w:t>
      </w:r>
      <w:r w:rsidR="009E688C" w:rsidRPr="005661DE">
        <w:rPr>
          <w:rFonts w:hint="eastAsia"/>
        </w:rPr>
        <w:t>当然值得欣慰，这是行使量刑建议权所追求的目标，体现了量刑建议的价值。但另一方面，它反映的是在大多数案件中律师的</w:t>
      </w:r>
      <w:r w:rsidRPr="005661DE">
        <w:rPr>
          <w:rFonts w:hint="eastAsia"/>
        </w:rPr>
        <w:t>量刑辩护是没有发挥任何作用</w:t>
      </w:r>
      <w:r w:rsidR="009E688C" w:rsidRPr="005661DE">
        <w:rPr>
          <w:rFonts w:hint="eastAsia"/>
        </w:rPr>
        <w:t>的。</w:t>
      </w:r>
      <w:r w:rsidR="00652D7E" w:rsidRPr="005661DE">
        <w:rPr>
          <w:rFonts w:hint="eastAsia"/>
        </w:rPr>
        <w:t>几乎达到</w:t>
      </w:r>
      <w:r w:rsidR="00652D7E" w:rsidRPr="005661DE">
        <w:rPr>
          <w:rFonts w:hint="eastAsia"/>
        </w:rPr>
        <w:t>100%</w:t>
      </w:r>
      <w:r w:rsidR="00652D7E" w:rsidRPr="005661DE">
        <w:rPr>
          <w:rFonts w:hint="eastAsia"/>
        </w:rPr>
        <w:t>的</w:t>
      </w:r>
      <w:r w:rsidR="000631EE" w:rsidRPr="005661DE">
        <w:rPr>
          <w:rFonts w:hint="eastAsia"/>
        </w:rPr>
        <w:t>定罪率，如果再与</w:t>
      </w:r>
      <w:r w:rsidR="00652D7E" w:rsidRPr="005661DE">
        <w:rPr>
          <w:rFonts w:hint="eastAsia"/>
        </w:rPr>
        <w:t>超高</w:t>
      </w:r>
      <w:r w:rsidR="009E688C" w:rsidRPr="005661DE">
        <w:rPr>
          <w:rFonts w:hint="eastAsia"/>
        </w:rPr>
        <w:t>的量刑建议采纳率</w:t>
      </w:r>
      <w:r w:rsidR="000631EE" w:rsidRPr="005661DE">
        <w:rPr>
          <w:rFonts w:hint="eastAsia"/>
        </w:rPr>
        <w:t>结合，那么</w:t>
      </w:r>
      <w:r w:rsidR="009E688C" w:rsidRPr="005661DE">
        <w:rPr>
          <w:rFonts w:hint="eastAsia"/>
        </w:rPr>
        <w:t>律师</w:t>
      </w:r>
      <w:r w:rsidRPr="005661DE">
        <w:rPr>
          <w:rFonts w:hint="eastAsia"/>
        </w:rPr>
        <w:t>对于公诉人提出的量刑建议</w:t>
      </w:r>
      <w:r w:rsidR="009E688C" w:rsidRPr="005661DE">
        <w:rPr>
          <w:rFonts w:hint="eastAsia"/>
        </w:rPr>
        <w:t>还有多大的辩护空间呢？</w:t>
      </w:r>
      <w:r w:rsidR="009E688C" w:rsidRPr="006146D6">
        <w:rPr>
          <w:vertAlign w:val="superscript"/>
        </w:rPr>
        <w:footnoteReference w:id="31"/>
      </w:r>
      <w:r w:rsidR="009E688C" w:rsidRPr="005661DE">
        <w:rPr>
          <w:rFonts w:hint="eastAsia"/>
        </w:rPr>
        <w:t>检察机关量刑建议的畸高采纳率，</w:t>
      </w:r>
      <w:r w:rsidR="000631EE" w:rsidRPr="005661DE">
        <w:rPr>
          <w:rFonts w:hint="eastAsia"/>
        </w:rPr>
        <w:t>影响到辩护律师在案件诉讼过程中的话语权，</w:t>
      </w:r>
      <w:r w:rsidR="009E688C" w:rsidRPr="005661DE">
        <w:rPr>
          <w:rFonts w:hint="eastAsia"/>
        </w:rPr>
        <w:t>这将导致律师做无罪辩护和罪轻辩护的意义大大降低，对量刑建议所起的监督作用也越来越弱；另一方面，高采纳率意味着法院全盘接收了检察机关</w:t>
      </w:r>
      <w:r w:rsidR="00652D7E" w:rsidRPr="005661DE">
        <w:rPr>
          <w:rFonts w:hint="eastAsia"/>
        </w:rPr>
        <w:t>提出</w:t>
      </w:r>
      <w:r w:rsidR="009E688C" w:rsidRPr="005661DE">
        <w:rPr>
          <w:rFonts w:hint="eastAsia"/>
        </w:rPr>
        <w:t>的量</w:t>
      </w:r>
      <w:r w:rsidR="00C9651E" w:rsidRPr="005661DE">
        <w:rPr>
          <w:rFonts w:hint="eastAsia"/>
        </w:rPr>
        <w:t>刑建议，法官</w:t>
      </w:r>
      <w:r w:rsidR="009E688C" w:rsidRPr="005661DE">
        <w:rPr>
          <w:rFonts w:hint="eastAsia"/>
        </w:rPr>
        <w:t>对</w:t>
      </w:r>
      <w:r w:rsidR="00652D7E" w:rsidRPr="005661DE">
        <w:rPr>
          <w:rFonts w:hint="eastAsia"/>
        </w:rPr>
        <w:t>案件</w:t>
      </w:r>
      <w:r w:rsidR="00C9651E" w:rsidRPr="005661DE">
        <w:rPr>
          <w:rFonts w:hint="eastAsia"/>
        </w:rPr>
        <w:t>量刑的审理存在“走过场”的嫌疑</w:t>
      </w:r>
      <w:r w:rsidR="009E688C" w:rsidRPr="005661DE">
        <w:rPr>
          <w:rFonts w:hint="eastAsia"/>
        </w:rPr>
        <w:t>。</w:t>
      </w:r>
      <w:r w:rsidRPr="005661DE">
        <w:rPr>
          <w:rFonts w:hint="eastAsia"/>
        </w:rPr>
        <w:t>承办案件的检察官作为</w:t>
      </w:r>
      <w:r w:rsidR="009E688C" w:rsidRPr="005661DE">
        <w:rPr>
          <w:rFonts w:hint="eastAsia"/>
        </w:rPr>
        <w:t>量刑建</w:t>
      </w:r>
      <w:r w:rsidRPr="005661DE">
        <w:rPr>
          <w:rFonts w:hint="eastAsia"/>
        </w:rPr>
        <w:t>议提出的主体，且部分</w:t>
      </w:r>
      <w:r w:rsidR="009E688C" w:rsidRPr="005661DE">
        <w:rPr>
          <w:rFonts w:hint="eastAsia"/>
        </w:rPr>
        <w:t>检察</w:t>
      </w:r>
      <w:r w:rsidRPr="005661DE">
        <w:rPr>
          <w:rFonts w:hint="eastAsia"/>
        </w:rPr>
        <w:t>官量刑能力</w:t>
      </w:r>
      <w:r w:rsidR="009E688C" w:rsidRPr="005661DE">
        <w:rPr>
          <w:rFonts w:hint="eastAsia"/>
        </w:rPr>
        <w:t>不足，加之检察官的控方立场决定其重视收集对犯罪嫌疑人不利的证据，而忽视从宽情节</w:t>
      </w:r>
      <w:r w:rsidRPr="005661DE">
        <w:rPr>
          <w:rFonts w:hint="eastAsia"/>
        </w:rPr>
        <w:t>的证据，同时</w:t>
      </w:r>
      <w:r w:rsidR="009E688C" w:rsidRPr="005661DE">
        <w:rPr>
          <w:rFonts w:hint="eastAsia"/>
        </w:rPr>
        <w:t>由于缺少内部及上下级之间的有力监督，就无法避免个人对量刑建议权的不当使用，从而影响整个检察机关量刑建议的公正性。被害人在刑事诉讼中直接承受被告人犯罪行为造成的后果，被告人的最终量刑结果将对其产生实质的影响。</w:t>
      </w:r>
      <w:r w:rsidR="00304280">
        <w:rPr>
          <w:rFonts w:hint="eastAsia"/>
        </w:rPr>
        <w:t>在刑事诉讼活动中，刑罚能得到准确公平地适用，离不开被害人的积极参与，同时被害人的协助也有利于维护刑事司法活动地正常运行。</w:t>
      </w:r>
      <w:r w:rsidR="009E688C" w:rsidRPr="005661DE">
        <w:rPr>
          <w:rFonts w:hint="eastAsia"/>
        </w:rPr>
        <w:t>《指导意见》中未关注对被害人的权益保障，仅规定可以听取被害人意见。关于被害人异议的处理，《指导意见》</w:t>
      </w:r>
      <w:r w:rsidR="009E688C" w:rsidRPr="005661DE">
        <w:t>18</w:t>
      </w:r>
      <w:r w:rsidR="009E688C" w:rsidRPr="005661DE">
        <w:rPr>
          <w:rFonts w:hint="eastAsia"/>
        </w:rPr>
        <w:t>条规定，被害人方不同意对犯罪嫌疑人从宽处理的，也不影响认罪认罚从宽制度的适用。由于法律缺乏强制性的规定来保障被害人意见对量刑建议过程的影响力，被害人对量刑建议的监督也就无从谈起。</w:t>
      </w:r>
    </w:p>
    <w:p w14:paraId="01BC0787" w14:textId="77777777" w:rsidR="009E688C" w:rsidRPr="005661DE" w:rsidRDefault="009E688C" w:rsidP="008C2522">
      <w:pPr>
        <w:pStyle w:val="2"/>
        <w:snapToGrid w:val="0"/>
      </w:pPr>
      <w:bookmarkStart w:id="50" w:name="_Toc36842059"/>
      <w:bookmarkStart w:id="51" w:name="_Toc36844731"/>
      <w:r w:rsidRPr="005661DE">
        <w:rPr>
          <w:rFonts w:hint="eastAsia"/>
        </w:rPr>
        <w:t>（五）量刑建议说理机制缺失</w:t>
      </w:r>
      <w:bookmarkEnd w:id="50"/>
      <w:bookmarkEnd w:id="51"/>
    </w:p>
    <w:p w14:paraId="25797420" w14:textId="77777777" w:rsidR="009E688C" w:rsidRPr="005661DE" w:rsidRDefault="009E688C" w:rsidP="008C2522">
      <w:pPr>
        <w:snapToGrid w:val="0"/>
        <w:spacing w:line="300" w:lineRule="auto"/>
      </w:pPr>
      <w:r w:rsidRPr="005661DE">
        <w:rPr>
          <w:rFonts w:hint="eastAsia"/>
        </w:rPr>
        <w:t>在刑事诉讼中，充分说理是提升司法公信力的重要途径。“量刑说理</w:t>
      </w:r>
      <w:r w:rsidR="00B5267F" w:rsidRPr="005661DE">
        <w:t>”</w:t>
      </w:r>
      <w:r w:rsidRPr="005661DE">
        <w:rPr>
          <w:rFonts w:hint="eastAsia"/>
        </w:rPr>
        <w:t>是指</w:t>
      </w:r>
      <w:r w:rsidR="00BC5879" w:rsidRPr="005661DE">
        <w:rPr>
          <w:rFonts w:hint="eastAsia"/>
        </w:rPr>
        <w:t>在量刑活动过程中，参与的各方针对自己所提出的量刑意见</w:t>
      </w:r>
      <w:r w:rsidR="00536D80" w:rsidRPr="005661DE">
        <w:rPr>
          <w:rFonts w:hint="eastAsia"/>
        </w:rPr>
        <w:t>或作出的量刑裁决进行说明和解释</w:t>
      </w:r>
      <w:r w:rsidRPr="005661DE">
        <w:rPr>
          <w:rFonts w:hint="eastAsia"/>
        </w:rPr>
        <w:t>。</w:t>
      </w:r>
      <w:r w:rsidRPr="006146D6">
        <w:rPr>
          <w:vertAlign w:val="superscript"/>
        </w:rPr>
        <w:footnoteReference w:id="32"/>
      </w:r>
      <w:r w:rsidRPr="005661DE">
        <w:rPr>
          <w:rFonts w:hint="eastAsia"/>
        </w:rPr>
        <w:t>《指导意</w:t>
      </w:r>
      <w:r w:rsidR="00472149" w:rsidRPr="005661DE">
        <w:rPr>
          <w:rFonts w:hint="eastAsia"/>
        </w:rPr>
        <w:t>见》中规定检察机关提起公诉时，量刑建议书可不制作，</w:t>
      </w:r>
      <w:r w:rsidRPr="005661DE">
        <w:rPr>
          <w:rFonts w:hint="eastAsia"/>
        </w:rPr>
        <w:t>可在起诉书中</w:t>
      </w:r>
      <w:r w:rsidR="00472149" w:rsidRPr="005661DE">
        <w:rPr>
          <w:rFonts w:hint="eastAsia"/>
        </w:rPr>
        <w:t>一并</w:t>
      </w:r>
      <w:r w:rsidRPr="005661DE">
        <w:rPr>
          <w:rFonts w:hint="eastAsia"/>
        </w:rPr>
        <w:t>写明</w:t>
      </w:r>
      <w:r w:rsidR="00472149" w:rsidRPr="005661DE">
        <w:rPr>
          <w:rFonts w:hint="eastAsia"/>
        </w:rPr>
        <w:t>所提出的量刑建议</w:t>
      </w:r>
      <w:r w:rsidRPr="005661DE">
        <w:rPr>
          <w:rFonts w:hint="eastAsia"/>
        </w:rPr>
        <w:t>。实践中，起诉书中存在对量刑情节认定的理由“一笔带过”的情形，并且在庭审过程中，审判机关一般不会直接要求检察解释量刑建议的理由，忽略了对量刑建议的监督。检察机关更侧重对事实情节的认定以及证据的采纳等问题的说明，对量刑情节的认定依据一般也很少进行解释，只有当辩方对量刑提出异议时，出庭的检察官才会作以说明。由于量刑建议说理机制的缺失以及检察官欠缺量刑说理的能力与意识，导致起诉书</w:t>
      </w:r>
      <w:r w:rsidR="00472149" w:rsidRPr="005661DE">
        <w:rPr>
          <w:rFonts w:hint="eastAsia"/>
        </w:rPr>
        <w:t>和量刑</w:t>
      </w:r>
      <w:r w:rsidR="004E30B9" w:rsidRPr="005661DE">
        <w:rPr>
          <w:rFonts w:hint="eastAsia"/>
        </w:rPr>
        <w:t>建议书中对所提的量刑建议说理严重不足。在一些通过量刑建议书提出量刑建议的案件中，</w:t>
      </w:r>
      <w:r w:rsidRPr="005661DE">
        <w:rPr>
          <w:rFonts w:hint="eastAsia"/>
        </w:rPr>
        <w:t>检察官在量刑建议书中并没有对认定的理由、过程进行说理。纵观这些量刑建议书存在的主要问题是：文书的语言呈现格式化、抽象化的特征。不同的案件情况，检察官却采用相同的文字进行简单的概括，缺少针对性的分析，影响了量刑建议的说服力。同时，在量刑说理的内容上存在不全面的情况，一些案件的量刑说理只对主刑的量刑建议进行说理，遗漏了对缓刑、附加刑的量刑说理。另外，在量刑建议的说理过程中对案件的实体情况以及量刑情节的认定上缺少必要的分析和论证。一些检察官只是简单罗列案件的事实和适用法律条文直接得出量刑结果，量刑过程中缺乏逻辑分析和逻辑推理，并未真正完成量刑建议说理的工作，从而也无法保证量刑建议的准确性和公正性。</w:t>
      </w:r>
    </w:p>
    <w:p w14:paraId="3F68BE4D" w14:textId="77777777" w:rsidR="009E688C" w:rsidRPr="005661DE" w:rsidRDefault="009E688C" w:rsidP="008C2522">
      <w:pPr>
        <w:snapToGrid w:val="0"/>
        <w:spacing w:line="300" w:lineRule="auto"/>
      </w:pPr>
    </w:p>
    <w:p w14:paraId="3059762D" w14:textId="77777777" w:rsidR="009E688C" w:rsidRPr="005661DE" w:rsidRDefault="009E688C" w:rsidP="008C2522">
      <w:pPr>
        <w:pStyle w:val="1"/>
        <w:snapToGrid w:val="0"/>
      </w:pPr>
      <w:bookmarkStart w:id="52" w:name="_Toc36842060"/>
      <w:bookmarkStart w:id="53" w:name="_Toc36844732"/>
      <w:r w:rsidRPr="005661DE">
        <w:rPr>
          <w:rFonts w:hint="eastAsia"/>
        </w:rPr>
        <w:lastRenderedPageBreak/>
        <w:t>六、认罪认罚从宽制度下检察机关量刑建议权之完善</w:t>
      </w:r>
      <w:bookmarkEnd w:id="52"/>
      <w:bookmarkEnd w:id="53"/>
    </w:p>
    <w:p w14:paraId="73176CE5" w14:textId="77777777" w:rsidR="009E688C" w:rsidRPr="005661DE" w:rsidRDefault="009E688C" w:rsidP="008C2522">
      <w:pPr>
        <w:snapToGrid w:val="0"/>
        <w:spacing w:line="300" w:lineRule="auto"/>
      </w:pPr>
    </w:p>
    <w:p w14:paraId="64B97125" w14:textId="77777777" w:rsidR="009E688C" w:rsidRPr="005661DE" w:rsidRDefault="009E688C" w:rsidP="008C2522">
      <w:pPr>
        <w:snapToGrid w:val="0"/>
        <w:spacing w:line="300" w:lineRule="auto"/>
      </w:pPr>
      <w:r w:rsidRPr="005661DE">
        <w:rPr>
          <w:rFonts w:hint="eastAsia"/>
        </w:rPr>
        <w:t>我国的认罪认罚从宽制度从前期试点到立法肯定，制度推进迅速，实践效果显著。但毕竟立法时间不长，相关制度体系的理论研究起步较晚且不够深入，同时诸多规定本身不够细化，在实践中有待探索。尤其是检察机关量刑建议权，立法赋予其新的诉讼功能。检察机关如何针对存在的问题，进一步加快量刑建议权的完善，以有效推进认罪认罚从宽制度的全面实施事关重大。笔者结合现行法律规定、司法解释以及当下司法实践中存在的问题，秉承公正与效率的价值目标，特提出以下若干建议。</w:t>
      </w:r>
    </w:p>
    <w:p w14:paraId="39367E45" w14:textId="77777777" w:rsidR="009E688C" w:rsidRPr="005661DE" w:rsidRDefault="00732F4F" w:rsidP="008C2522">
      <w:pPr>
        <w:pStyle w:val="2"/>
        <w:snapToGrid w:val="0"/>
      </w:pPr>
      <w:bookmarkStart w:id="54" w:name="_Toc36842061"/>
      <w:bookmarkStart w:id="55" w:name="_Toc36844733"/>
      <w:r>
        <w:rPr>
          <w:rFonts w:hint="eastAsia"/>
        </w:rPr>
        <w:t>（一）确定</w:t>
      </w:r>
      <w:r w:rsidR="009E688C" w:rsidRPr="005661DE">
        <w:rPr>
          <w:rFonts w:hint="eastAsia"/>
        </w:rPr>
        <w:t>量刑建议模式，推进精准化量刑</w:t>
      </w:r>
      <w:bookmarkEnd w:id="54"/>
      <w:bookmarkEnd w:id="55"/>
    </w:p>
    <w:p w14:paraId="7A96F122" w14:textId="77777777" w:rsidR="009E688C" w:rsidRPr="005661DE" w:rsidRDefault="009E688C" w:rsidP="008C2522">
      <w:pPr>
        <w:snapToGrid w:val="0"/>
        <w:spacing w:line="300" w:lineRule="auto"/>
      </w:pPr>
      <w:r w:rsidRPr="005661DE">
        <w:rPr>
          <w:rFonts w:hint="eastAsia"/>
        </w:rPr>
        <w:t>笔者认为，幅度型的量刑建议会使量刑建议制度流于形式，也不符合被告人的量刑期待，最终</w:t>
      </w:r>
      <w:r w:rsidR="002A1A92" w:rsidRPr="005661DE">
        <w:rPr>
          <w:rFonts w:hint="eastAsia"/>
        </w:rPr>
        <w:t>不利于提升司法公信力。检察官提出准确的量刑建议没有干涉</w:t>
      </w:r>
      <w:r w:rsidR="000C081C" w:rsidRPr="005661DE">
        <w:rPr>
          <w:rFonts w:hint="eastAsia"/>
        </w:rPr>
        <w:t>法官对案件的审判</w:t>
      </w:r>
      <w:r w:rsidRPr="005661DE">
        <w:rPr>
          <w:rFonts w:hint="eastAsia"/>
        </w:rPr>
        <w:t>权，而且在有</w:t>
      </w:r>
      <w:r w:rsidR="000C081C" w:rsidRPr="005661DE">
        <w:rPr>
          <w:rFonts w:hint="eastAsia"/>
        </w:rPr>
        <w:t>充分的证据和法律依据的条件下，法官也完全有权不认同</w:t>
      </w:r>
      <w:r w:rsidRPr="005661DE">
        <w:rPr>
          <w:rFonts w:hint="eastAsia"/>
        </w:rPr>
        <w:t>检察官所提出的量刑建议。</w:t>
      </w:r>
    </w:p>
    <w:p w14:paraId="0BAD9DEA" w14:textId="77777777" w:rsidR="009E688C" w:rsidRPr="005661DE" w:rsidRDefault="009E688C" w:rsidP="008C2522">
      <w:pPr>
        <w:pStyle w:val="3"/>
        <w:snapToGrid w:val="0"/>
      </w:pPr>
      <w:r w:rsidRPr="005661DE">
        <w:t>1.</w:t>
      </w:r>
      <w:r w:rsidRPr="005661DE">
        <w:rPr>
          <w:rFonts w:hint="eastAsia"/>
        </w:rPr>
        <w:t>量刑建议追求的目标是精准化量刑</w:t>
      </w:r>
    </w:p>
    <w:p w14:paraId="1E8FD787" w14:textId="77777777" w:rsidR="009E688C" w:rsidRPr="005661DE" w:rsidRDefault="009E688C" w:rsidP="008C2522">
      <w:pPr>
        <w:snapToGrid w:val="0"/>
        <w:spacing w:line="300" w:lineRule="auto"/>
      </w:pPr>
      <w:r w:rsidRPr="005661DE">
        <w:rPr>
          <w:rFonts w:hint="eastAsia"/>
        </w:rPr>
        <w:t>根据《指导意见》</w:t>
      </w:r>
      <w:r w:rsidRPr="005661DE">
        <w:t>33</w:t>
      </w:r>
      <w:r w:rsidRPr="005661DE">
        <w:rPr>
          <w:rFonts w:hint="eastAsia"/>
        </w:rPr>
        <w:t>条和《刑事诉讼规则》第</w:t>
      </w:r>
      <w:r w:rsidRPr="005661DE">
        <w:t>275</w:t>
      </w:r>
      <w:r w:rsidRPr="005661DE">
        <w:rPr>
          <w:rFonts w:hint="eastAsia"/>
        </w:rPr>
        <w:t>条规定：量刑建议以准确的量刑建议为原则，带有幅度的量刑建议为例外。从法律规范层面来说，对检察机关所提的量刑建议应是准确的，还是带有幅度的，没有作出一刀切的规定。对此，目前学界和司法界也有争议，尤其是大多数法官并不赞同检察机关提出确定型的量刑建议。笔者认为，精准化量刑建议应当成为量刑建议实行的着力点和追求目标。理由是：（</w:t>
      </w:r>
      <w:r w:rsidRPr="005661DE">
        <w:t>1</w:t>
      </w:r>
      <w:r w:rsidRPr="005661DE">
        <w:rPr>
          <w:rFonts w:hint="eastAsia"/>
        </w:rPr>
        <w:t>）检察官若是选用带有幅度的量刑建议，即使签署了认罪认罚具结书，在心理预期上对最终的量刑仍处于不确定的状态。明确的量刑将有利于控辩双方有针对性的进行量刑协商，开展平等的沟通。由于这是双方进行充分协商达成合意的结果，准确的量刑建议是对协商过程最直接和最充分的体现。犯罪嫌疑人之所以放弃对抗，就是想通过认罪换取一个可接受的刑罚，避免庭审结果的不确定性。而检察机关给予准确的量刑更能满足犯罪嫌疑人认罪后对“罚”的预期，提出的量刑建议越具体，犯罪嫌疑人及其辩护律师协商的目的性也就越明确，动力也就越大。试点期间的实践证明，即使犯罪嫌疑人、被告人同意检察机关的幅度刑建议，其心理预期也仍然是量刑建议幅度的中线以下。</w:t>
      </w:r>
      <w:r w:rsidRPr="006146D6">
        <w:rPr>
          <w:vertAlign w:val="superscript"/>
        </w:rPr>
        <w:footnoteReference w:id="33"/>
      </w:r>
      <w:r w:rsidRPr="005661DE">
        <w:rPr>
          <w:rFonts w:hint="eastAsia"/>
        </w:rPr>
        <w:t>一旦法庭判决超出了心中的预期，有可能对判决不满从而选择上诉，这必然影响认罪认罚从宽制度的稳定性。确定的量刑建议一方面可以激活认罪认罚从宽制度的“激励机制”，明确犯罪嫌疑人对最终量刑的心里预期，减少因量刑落差而产生的上诉，从而保障认罪认罚从宽制度的平稳运行。（</w:t>
      </w:r>
      <w:r w:rsidRPr="005661DE">
        <w:t>2</w:t>
      </w:r>
      <w:r w:rsidRPr="005661DE">
        <w:rPr>
          <w:rFonts w:hint="eastAsia"/>
        </w:rPr>
        <w:t>）认罪认罚案件中，检察机关与被告人协商一致提出的量刑建议与普通案件不同，它是检察官秉持公正客观的立场，在全面审查事实证据、量刑情节的基础上，根据罪责一致的原则，基于各方的合意而提出的量刑建议。因检察官在提出了明确的量刑建议时已对定罪量刑的事实证据作出了梳理，法官大致只需对检察官提交的材料进行审理，确认被告人认罪认罚的自愿性就可采纳量刑建议直接作出判决。这将大大节约法官审判的实践，从而达到提高诉讼的效率的效果。</w:t>
      </w:r>
    </w:p>
    <w:p w14:paraId="0F4C0E64" w14:textId="77777777" w:rsidR="009E688C" w:rsidRPr="005661DE" w:rsidRDefault="009E688C" w:rsidP="008C2522">
      <w:pPr>
        <w:pStyle w:val="3"/>
        <w:snapToGrid w:val="0"/>
      </w:pPr>
      <w:r w:rsidRPr="005661DE">
        <w:t>2.</w:t>
      </w:r>
      <w:r w:rsidRPr="005661DE">
        <w:rPr>
          <w:rFonts w:hint="eastAsia"/>
        </w:rPr>
        <w:t>区分不同案件实行精准化量刑</w:t>
      </w:r>
    </w:p>
    <w:p w14:paraId="73D0DC94" w14:textId="77777777" w:rsidR="009E688C" w:rsidRPr="005661DE" w:rsidRDefault="009E688C" w:rsidP="008C2522">
      <w:pPr>
        <w:snapToGrid w:val="0"/>
        <w:spacing w:line="300" w:lineRule="auto"/>
      </w:pPr>
      <w:r w:rsidRPr="005661DE">
        <w:rPr>
          <w:rFonts w:hint="eastAsia"/>
        </w:rPr>
        <w:t>由于缺少统一的量刑建议实体标准及量刑指导意见涵盖的罪名有限等问题，同时客观上因检察机关缺少相关技能培训导致量刑工作经验不足，目前在全国范围内一概实行确定刑量刑建议确实存在较大困难。根据实践情况和检察官的量刑能力，笔者提出区分不同案件实现</w:t>
      </w:r>
      <w:r w:rsidRPr="005661DE">
        <w:rPr>
          <w:rFonts w:hint="eastAsia"/>
        </w:rPr>
        <w:lastRenderedPageBreak/>
        <w:t>认罪认罚案件精准化量刑的建议。（</w:t>
      </w:r>
      <w:r w:rsidRPr="005661DE">
        <w:t>1</w:t>
      </w:r>
      <w:r w:rsidRPr="005661DE">
        <w:rPr>
          <w:rFonts w:hint="eastAsia"/>
        </w:rPr>
        <w:t>）凡是建议适用速裁程序的，一概提出确定刑量刑建议。对于可能判处三年有期徒刑以下</w:t>
      </w:r>
      <w:r w:rsidR="00472149" w:rsidRPr="005661DE">
        <w:rPr>
          <w:rFonts w:hint="eastAsia"/>
        </w:rPr>
        <w:t>，选择适用速裁程序审理的</w:t>
      </w:r>
      <w:r w:rsidRPr="005661DE">
        <w:rPr>
          <w:rFonts w:hint="eastAsia"/>
        </w:rPr>
        <w:t>案</w:t>
      </w:r>
      <w:r w:rsidR="00472149" w:rsidRPr="005661DE">
        <w:rPr>
          <w:rFonts w:hint="eastAsia"/>
        </w:rPr>
        <w:t>件，检察机关应当提出准确的量刑意见。由于案件事实清楚，证据确实</w:t>
      </w:r>
      <w:r w:rsidRPr="005661DE">
        <w:rPr>
          <w:rFonts w:hint="eastAsia"/>
        </w:rPr>
        <w:t>充分，对检查官的量刑能力要求不高，并且法律规定适用速裁程序的案件应当在十至十五日内审结，</w:t>
      </w:r>
      <w:r w:rsidR="00472149" w:rsidRPr="005661DE">
        <w:rPr>
          <w:rFonts w:hint="eastAsia"/>
        </w:rPr>
        <w:t>通过提出明确具体的量刑建议，既有助于促使犯罪嫌疑人尽早认罪</w:t>
      </w:r>
      <w:r w:rsidRPr="005661DE">
        <w:rPr>
          <w:rFonts w:hint="eastAsia"/>
        </w:rPr>
        <w:t>，同时有利于法庭快速审理，实现繁简案件分流。（</w:t>
      </w:r>
      <w:r w:rsidRPr="005661DE">
        <w:t>2</w:t>
      </w:r>
      <w:r w:rsidRPr="005661DE">
        <w:rPr>
          <w:rFonts w:hint="eastAsia"/>
        </w:rPr>
        <w:t>）适用普通程序的案件，可提出带有幅度的量刑建议。适用普通程序的案件，特别是案情复杂、量刑情节多样的重罪案件，法定的量刑幅度较大，基于检察官长期缺乏量刑经验等客观条件所限，提出确定刑量刑建议确有难度的，应允许幅度刑量刑建议的存在。对这类案件检察官可以提出带有幅度的量刑建议供法庭参考。（</w:t>
      </w:r>
      <w:r w:rsidRPr="005661DE">
        <w:t>3</w:t>
      </w:r>
      <w:r w:rsidRPr="005661DE">
        <w:rPr>
          <w:rFonts w:hint="eastAsia"/>
        </w:rPr>
        <w:t>）待时机成熟时，应全面推行确定刑量刑建议模式。时机成熟的标志是：制度层面，全国范围内实现量刑规范化，全国统一的量刑标准及量刑指导意见已出台；检察机关内部已有完整的量刑建议程序制度，且从事量刑建议的检察官已经过相关培训、考核合格等。</w:t>
      </w:r>
    </w:p>
    <w:p w14:paraId="2EAB1A32" w14:textId="77777777" w:rsidR="009E688C" w:rsidRPr="005661DE" w:rsidRDefault="009E688C" w:rsidP="008C2522">
      <w:pPr>
        <w:pStyle w:val="2"/>
        <w:snapToGrid w:val="0"/>
      </w:pPr>
      <w:bookmarkStart w:id="56" w:name="_Toc36842062"/>
      <w:bookmarkStart w:id="57" w:name="_Toc36844734"/>
      <w:r w:rsidRPr="005661DE">
        <w:rPr>
          <w:rFonts w:hint="eastAsia"/>
        </w:rPr>
        <w:t>（二）明确量刑标准，出台统一的量刑指导意见</w:t>
      </w:r>
      <w:bookmarkEnd w:id="56"/>
      <w:bookmarkEnd w:id="57"/>
    </w:p>
    <w:p w14:paraId="7518B086" w14:textId="77777777" w:rsidR="009E688C" w:rsidRPr="005661DE" w:rsidRDefault="009E688C" w:rsidP="008C2522">
      <w:pPr>
        <w:snapToGrid w:val="0"/>
        <w:spacing w:line="300" w:lineRule="auto"/>
      </w:pPr>
      <w:r w:rsidRPr="005661DE">
        <w:rPr>
          <w:rFonts w:hint="eastAsia"/>
        </w:rPr>
        <w:t>为了实现量刑的合理公正，必须要建立一个全国统一的量刑标准。明确量刑标准，不仅有利于规范司法行为，增加司法的透明度，而且有助于广大民众对量刑标准的了解，增强对司法信赖。“没有实体法上的支撑，围绕量刑程序的所有美好设计都可能落空。”</w:t>
      </w:r>
      <w:r w:rsidRPr="006146D6">
        <w:rPr>
          <w:vertAlign w:val="superscript"/>
        </w:rPr>
        <w:footnoteReference w:id="34"/>
      </w:r>
      <w:r w:rsidRPr="005661DE">
        <w:rPr>
          <w:rFonts w:hint="eastAsia"/>
        </w:rPr>
        <w:t>为推进司法规范化，必须确立科学的量刑建议标准，从而限制自由裁量权的滥用，减少量刑失衡的问题，保障各地的检察机关提出的量刑建议、审判机关确定的量刑结果具有统一性。</w:t>
      </w:r>
    </w:p>
    <w:p w14:paraId="4F390601" w14:textId="77777777" w:rsidR="009E688C" w:rsidRPr="005661DE" w:rsidRDefault="009E688C" w:rsidP="008C2522">
      <w:pPr>
        <w:pStyle w:val="3"/>
        <w:snapToGrid w:val="0"/>
      </w:pPr>
      <w:r w:rsidRPr="005661DE">
        <w:t>1.</w:t>
      </w:r>
      <w:r w:rsidRPr="005661DE">
        <w:rPr>
          <w:rFonts w:hint="eastAsia"/>
        </w:rPr>
        <w:t>明确量刑从宽的幅度</w:t>
      </w:r>
    </w:p>
    <w:p w14:paraId="59A841FB" w14:textId="77777777" w:rsidR="009E688C" w:rsidRPr="005661DE" w:rsidRDefault="009E688C" w:rsidP="008C2522">
      <w:pPr>
        <w:snapToGrid w:val="0"/>
        <w:spacing w:line="300" w:lineRule="auto"/>
      </w:pPr>
      <w:r w:rsidRPr="005661DE">
        <w:rPr>
          <w:rFonts w:hint="eastAsia"/>
        </w:rPr>
        <w:t>在英国的刑事司法实践中，</w:t>
      </w:r>
      <w:r w:rsidR="00E210FB">
        <w:rPr>
          <w:rFonts w:hint="eastAsia"/>
        </w:rPr>
        <w:t>法律通过对</w:t>
      </w:r>
      <w:r w:rsidRPr="005661DE">
        <w:rPr>
          <w:rFonts w:hint="eastAsia"/>
        </w:rPr>
        <w:t>被告人在</w:t>
      </w:r>
      <w:r w:rsidR="000228C3" w:rsidRPr="005661DE">
        <w:rPr>
          <w:rFonts w:hint="eastAsia"/>
        </w:rPr>
        <w:t>不同时期认罪设置不同的减刑幅度</w:t>
      </w:r>
      <w:r w:rsidR="00D5246A" w:rsidRPr="005661DE">
        <w:rPr>
          <w:rFonts w:hint="eastAsia"/>
        </w:rPr>
        <w:t>，以表示</w:t>
      </w:r>
      <w:r w:rsidR="000228C3" w:rsidRPr="005661DE">
        <w:rPr>
          <w:rFonts w:hint="eastAsia"/>
        </w:rPr>
        <w:t>其人身危险性</w:t>
      </w:r>
      <w:r w:rsidR="00D5246A" w:rsidRPr="005661DE">
        <w:rPr>
          <w:rFonts w:hint="eastAsia"/>
        </w:rPr>
        <w:t>随着诉讼进程而</w:t>
      </w:r>
      <w:r w:rsidR="000228C3" w:rsidRPr="005661DE">
        <w:rPr>
          <w:rFonts w:hint="eastAsia"/>
        </w:rPr>
        <w:t>降低</w:t>
      </w:r>
      <w:r w:rsidR="00E210FB">
        <w:rPr>
          <w:rFonts w:hint="eastAsia"/>
        </w:rPr>
        <w:t>的观点</w:t>
      </w:r>
      <w:r w:rsidR="00D5246A" w:rsidRPr="005661DE">
        <w:rPr>
          <w:rFonts w:hint="eastAsia"/>
        </w:rPr>
        <w:t>。</w:t>
      </w:r>
      <w:r w:rsidRPr="005661DE">
        <w:rPr>
          <w:rFonts w:hint="eastAsia"/>
        </w:rPr>
        <w:t>这种做法值得借鉴。通过把犯罪嫌疑</w:t>
      </w:r>
      <w:r w:rsidR="00B65762" w:rsidRPr="005661DE">
        <w:rPr>
          <w:rFonts w:hint="eastAsia"/>
        </w:rPr>
        <w:t>人的</w:t>
      </w:r>
      <w:r w:rsidRPr="005661DE">
        <w:rPr>
          <w:rFonts w:hint="eastAsia"/>
        </w:rPr>
        <w:t>犯</w:t>
      </w:r>
      <w:r w:rsidR="00B65762" w:rsidRPr="005661DE">
        <w:rPr>
          <w:rFonts w:hint="eastAsia"/>
        </w:rPr>
        <w:t>罪形态、犯罪数额及后果等其他量刑情节设置为具体条目，</w:t>
      </w:r>
      <w:r w:rsidR="00CB5EB0" w:rsidRPr="005661DE">
        <w:rPr>
          <w:rFonts w:hint="eastAsia"/>
        </w:rPr>
        <w:t>根据其</w:t>
      </w:r>
      <w:r w:rsidR="00B3122C" w:rsidRPr="005661DE">
        <w:rPr>
          <w:rFonts w:hint="eastAsia"/>
        </w:rPr>
        <w:t>认罪</w:t>
      </w:r>
      <w:r w:rsidR="00CB5EB0" w:rsidRPr="005661DE">
        <w:rPr>
          <w:rFonts w:hint="eastAsia"/>
        </w:rPr>
        <w:t>的不同阶段，</w:t>
      </w:r>
      <w:r w:rsidR="00B3122C" w:rsidRPr="005661DE">
        <w:rPr>
          <w:rFonts w:hint="eastAsia"/>
        </w:rPr>
        <w:t>国家所节约的司法资源等</w:t>
      </w:r>
      <w:r w:rsidR="00CB5EB0" w:rsidRPr="005661DE">
        <w:rPr>
          <w:rFonts w:hint="eastAsia"/>
        </w:rPr>
        <w:t>情况来设计相应的从宽幅度，设置有区别的</w:t>
      </w:r>
      <w:r w:rsidRPr="005661DE">
        <w:rPr>
          <w:rFonts w:hint="eastAsia"/>
        </w:rPr>
        <w:t>量刑优惠制度</w:t>
      </w:r>
      <w:r w:rsidR="00CB5EB0" w:rsidRPr="005661DE">
        <w:rPr>
          <w:rFonts w:hint="eastAsia"/>
        </w:rPr>
        <w:t>。</w:t>
      </w:r>
      <w:r w:rsidRPr="005661DE">
        <w:rPr>
          <w:rFonts w:hint="eastAsia"/>
        </w:rPr>
        <w:t>同时，为了明确鼓励犯罪嫌疑人尽早认罪认罚、提高诉讼效率，针对不同的诉讼阶段认罪作出对应的从宽标准，增强可操作性，避免检察机关行使量刑建议权时恣意从宽。目前许多司法机关使用的“</w:t>
      </w:r>
      <w:r w:rsidRPr="005661DE">
        <w:t>321</w:t>
      </w:r>
      <w:r w:rsidR="00E210FB">
        <w:rPr>
          <w:rFonts w:hint="eastAsia"/>
        </w:rPr>
        <w:t>”阶梯式，将诉讼分为侦查、审查起诉和审判三个时段，对选择认罪认罪的犯罪嫌疑人适用基准刑依次降低的从宽幅度，即分别为</w:t>
      </w:r>
      <w:r w:rsidR="00E210FB">
        <w:rPr>
          <w:rFonts w:hint="eastAsia"/>
        </w:rPr>
        <w:t>30%</w:t>
      </w:r>
      <w:r w:rsidR="00E210FB">
        <w:rPr>
          <w:rFonts w:hint="eastAsia"/>
        </w:rPr>
        <w:t>、</w:t>
      </w:r>
      <w:r w:rsidR="00E210FB">
        <w:rPr>
          <w:rFonts w:hint="eastAsia"/>
        </w:rPr>
        <w:t>20%</w:t>
      </w:r>
      <w:r w:rsidR="00E210FB">
        <w:rPr>
          <w:rFonts w:hint="eastAsia"/>
        </w:rPr>
        <w:t>、</w:t>
      </w:r>
      <w:r w:rsidR="00E210FB">
        <w:rPr>
          <w:rFonts w:hint="eastAsia"/>
        </w:rPr>
        <w:t>10%</w:t>
      </w:r>
      <w:r w:rsidR="00E210FB">
        <w:rPr>
          <w:rFonts w:hint="eastAsia"/>
        </w:rPr>
        <w:t>。</w:t>
      </w:r>
      <w:r w:rsidRPr="006146D6">
        <w:rPr>
          <w:vertAlign w:val="superscript"/>
        </w:rPr>
        <w:footnoteReference w:id="35"/>
      </w:r>
      <w:r w:rsidR="000B79A7" w:rsidRPr="005661DE">
        <w:rPr>
          <w:rFonts w:hint="eastAsia"/>
        </w:rPr>
        <w:t>这</w:t>
      </w:r>
      <w:r w:rsidRPr="005661DE">
        <w:rPr>
          <w:rFonts w:hint="eastAsia"/>
        </w:rPr>
        <w:t>种</w:t>
      </w:r>
      <w:r w:rsidR="000B79A7" w:rsidRPr="005661DE">
        <w:rPr>
          <w:rFonts w:hint="eastAsia"/>
        </w:rPr>
        <w:t>根据被告人在不同阶段认罪而制定相应的从宽幅度的</w:t>
      </w:r>
      <w:r w:rsidRPr="005661DE">
        <w:rPr>
          <w:rFonts w:hint="eastAsia"/>
        </w:rPr>
        <w:t>做法值得肯定。</w:t>
      </w:r>
    </w:p>
    <w:p w14:paraId="26F8306C" w14:textId="77777777" w:rsidR="009E688C" w:rsidRPr="005661DE" w:rsidRDefault="009E688C" w:rsidP="008C2522">
      <w:pPr>
        <w:pStyle w:val="3"/>
        <w:snapToGrid w:val="0"/>
      </w:pPr>
      <w:r w:rsidRPr="005661DE">
        <w:t>2.</w:t>
      </w:r>
      <w:r w:rsidRPr="005661DE">
        <w:rPr>
          <w:rFonts w:hint="eastAsia"/>
        </w:rPr>
        <w:t>明确量刑基准</w:t>
      </w:r>
    </w:p>
    <w:p w14:paraId="1A666AD7" w14:textId="77777777" w:rsidR="009E688C" w:rsidRPr="005661DE" w:rsidRDefault="009E688C" w:rsidP="00C861F5">
      <w:pPr>
        <w:snapToGrid w:val="0"/>
        <w:spacing w:line="300" w:lineRule="auto"/>
      </w:pPr>
      <w:r w:rsidRPr="005661DE">
        <w:rPr>
          <w:rFonts w:hint="eastAsia"/>
        </w:rPr>
        <w:t>根据《最高人民法院关于常见犯罪的量刑指导意见》</w:t>
      </w:r>
      <w:r w:rsidR="00343927" w:rsidRPr="005661DE">
        <w:rPr>
          <w:rFonts w:hint="eastAsia"/>
        </w:rPr>
        <w:t>（下</w:t>
      </w:r>
      <w:r w:rsidRPr="005661DE">
        <w:rPr>
          <w:rFonts w:hint="eastAsia"/>
        </w:rPr>
        <w:t>称《量刑指导意见》），量刑</w:t>
      </w:r>
      <w:r w:rsidR="00EA39EF" w:rsidRPr="005661DE">
        <w:rPr>
          <w:rFonts w:hint="eastAsia"/>
        </w:rPr>
        <w:t>步骤主要有以下几步：</w:t>
      </w:r>
      <w:r w:rsidRPr="005661DE">
        <w:rPr>
          <w:rFonts w:hint="eastAsia"/>
        </w:rPr>
        <w:t>确定量刑起点，</w:t>
      </w:r>
      <w:r w:rsidR="00D72B7F" w:rsidRPr="005661DE">
        <w:rPr>
          <w:rFonts w:hint="eastAsia"/>
        </w:rPr>
        <w:t>结合</w:t>
      </w:r>
      <w:r w:rsidR="00BF504E" w:rsidRPr="005661DE">
        <w:rPr>
          <w:rFonts w:hint="eastAsia"/>
        </w:rPr>
        <w:t>案件中犯罪事实</w:t>
      </w:r>
      <w:r w:rsidRPr="005661DE">
        <w:rPr>
          <w:rFonts w:hint="eastAsia"/>
        </w:rPr>
        <w:t>在起点刑基础上增加刑罚量确定基准刑，最后根据量刑情节，综合全案情况确定宣告刑。确定基准刑作为三个步骤中承上启下的关键一步，将直接决定量刑建议是否科学合理，但《量刑指导意见》对调节基准刑的方法未作具体的规定，可进一步加以明确。例如，数额型犯罪可以使用数学比例将数额换算以月为单位的刑期；非数额型犯罪，可以通过细化具体情节来确定。</w:t>
      </w:r>
      <w:r w:rsidR="00C861F5">
        <w:rPr>
          <w:rFonts w:hint="eastAsia"/>
        </w:rPr>
        <w:t>同时对基准刑进行细化调整：对特定量刑情节，实行“分布连乘”的方法，即基准刑×（</w:t>
      </w:r>
      <w:r w:rsidR="00C861F5">
        <w:t>1+</w:t>
      </w:r>
      <w:r w:rsidR="00C861F5">
        <w:rPr>
          <w:rFonts w:hint="eastAsia"/>
        </w:rPr>
        <w:t>从重</w:t>
      </w:r>
      <w:r w:rsidR="00C861F5">
        <w:t>A</w:t>
      </w:r>
      <w:r w:rsidR="00C861F5">
        <w:rPr>
          <w:rFonts w:hint="eastAsia"/>
        </w:rPr>
        <w:t>）×（</w:t>
      </w:r>
      <w:r w:rsidR="00C861F5">
        <w:t>1-</w:t>
      </w:r>
      <w:r w:rsidR="00C861F5">
        <w:rPr>
          <w:rFonts w:hint="eastAsia"/>
        </w:rPr>
        <w:t>从轻</w:t>
      </w:r>
      <w:r w:rsidR="00C861F5">
        <w:t>B</w:t>
      </w:r>
      <w:r w:rsidR="00C861F5">
        <w:rPr>
          <w:rFonts w:hint="eastAsia"/>
        </w:rPr>
        <w:t>）×（</w:t>
      </w:r>
      <w:r w:rsidR="00C861F5">
        <w:t>1-</w:t>
      </w:r>
      <w:r w:rsidR="00C861F5">
        <w:rPr>
          <w:rFonts w:hint="eastAsia"/>
        </w:rPr>
        <w:t>从轻</w:t>
      </w:r>
      <w:r w:rsidR="00C861F5">
        <w:t>C</w:t>
      </w:r>
      <w:r w:rsidR="00C861F5">
        <w:rPr>
          <w:rFonts w:hint="eastAsia"/>
        </w:rPr>
        <w:t>）；对于一般量刑情节，实行“同向相加，逆向相减”，计算方式表示为：基准刑×（</w:t>
      </w:r>
      <w:r w:rsidR="00C861F5">
        <w:rPr>
          <w:rFonts w:hint="eastAsia"/>
        </w:rPr>
        <w:t>1+</w:t>
      </w:r>
      <w:r w:rsidR="00C861F5">
        <w:rPr>
          <w:rFonts w:hint="eastAsia"/>
        </w:rPr>
        <w:t>从重</w:t>
      </w:r>
      <w:r w:rsidR="00C861F5">
        <w:rPr>
          <w:rFonts w:hint="eastAsia"/>
        </w:rPr>
        <w:t>A-</w:t>
      </w:r>
      <w:r w:rsidR="00C861F5">
        <w:rPr>
          <w:rFonts w:hint="eastAsia"/>
        </w:rPr>
        <w:t>从轻</w:t>
      </w:r>
      <w:r w:rsidR="00C861F5">
        <w:rPr>
          <w:rFonts w:hint="eastAsia"/>
        </w:rPr>
        <w:t>B-</w:t>
      </w:r>
      <w:r w:rsidR="00C861F5">
        <w:rPr>
          <w:rFonts w:hint="eastAsia"/>
        </w:rPr>
        <w:t>从轻</w:t>
      </w:r>
      <w:r w:rsidR="00C861F5">
        <w:rPr>
          <w:rFonts w:hint="eastAsia"/>
        </w:rPr>
        <w:t>C</w:t>
      </w:r>
      <w:r w:rsidR="00C861F5">
        <w:rPr>
          <w:rFonts w:hint="eastAsia"/>
        </w:rPr>
        <w:t>）；同时具有多个特定情节和一般情节的，采用“先特定、后一般”的</w:t>
      </w:r>
      <w:r w:rsidR="00C861F5">
        <w:rPr>
          <w:rFonts w:hint="eastAsia"/>
        </w:rPr>
        <w:lastRenderedPageBreak/>
        <w:t>原则，即“先相乘后加减”，计算方式表示为：基准刑×（</w:t>
      </w:r>
      <w:r w:rsidR="00C861F5">
        <w:rPr>
          <w:rFonts w:hint="eastAsia"/>
        </w:rPr>
        <w:t>1+</w:t>
      </w:r>
      <w:r w:rsidR="00C861F5">
        <w:rPr>
          <w:rFonts w:hint="eastAsia"/>
        </w:rPr>
        <w:t>特定从重</w:t>
      </w:r>
      <w:r w:rsidR="00C861F5">
        <w:rPr>
          <w:rFonts w:hint="eastAsia"/>
        </w:rPr>
        <w:t>A</w:t>
      </w:r>
      <w:r w:rsidR="00C861F5">
        <w:rPr>
          <w:rFonts w:hint="eastAsia"/>
        </w:rPr>
        <w:t>）×（</w:t>
      </w:r>
      <w:r w:rsidR="00C861F5">
        <w:rPr>
          <w:rFonts w:hint="eastAsia"/>
        </w:rPr>
        <w:t>1-</w:t>
      </w:r>
      <w:r w:rsidR="00C861F5">
        <w:rPr>
          <w:rFonts w:hint="eastAsia"/>
        </w:rPr>
        <w:t>特定从轻</w:t>
      </w:r>
      <w:r w:rsidR="00C861F5">
        <w:rPr>
          <w:rFonts w:hint="eastAsia"/>
        </w:rPr>
        <w:t>B</w:t>
      </w:r>
      <w:r w:rsidR="00C861F5">
        <w:rPr>
          <w:rFonts w:hint="eastAsia"/>
        </w:rPr>
        <w:t>）×（</w:t>
      </w:r>
      <w:r w:rsidR="00C861F5">
        <w:rPr>
          <w:rFonts w:hint="eastAsia"/>
        </w:rPr>
        <w:t>1+</w:t>
      </w:r>
      <w:r w:rsidR="00C861F5">
        <w:rPr>
          <w:rFonts w:hint="eastAsia"/>
        </w:rPr>
        <w:t>一般从重</w:t>
      </w:r>
      <w:r w:rsidR="00C861F5">
        <w:rPr>
          <w:rFonts w:hint="eastAsia"/>
        </w:rPr>
        <w:t>C-</w:t>
      </w:r>
      <w:r w:rsidR="00C861F5">
        <w:rPr>
          <w:rFonts w:hint="eastAsia"/>
        </w:rPr>
        <w:t>一般从轻</w:t>
      </w:r>
      <w:r w:rsidR="00C861F5">
        <w:rPr>
          <w:rFonts w:hint="eastAsia"/>
        </w:rPr>
        <w:t>D</w:t>
      </w:r>
      <w:r w:rsidR="00C861F5">
        <w:rPr>
          <w:rFonts w:hint="eastAsia"/>
        </w:rPr>
        <w:t>）。</w:t>
      </w:r>
    </w:p>
    <w:p w14:paraId="661D7825" w14:textId="77777777" w:rsidR="009E688C" w:rsidRPr="005661DE" w:rsidRDefault="009E688C" w:rsidP="008C2522">
      <w:pPr>
        <w:pStyle w:val="3"/>
        <w:snapToGrid w:val="0"/>
      </w:pPr>
      <w:r w:rsidRPr="005661DE">
        <w:t>3.</w:t>
      </w:r>
      <w:r w:rsidRPr="005661DE">
        <w:rPr>
          <w:rFonts w:hint="eastAsia"/>
        </w:rPr>
        <w:t>扩大量刑规范化的罪名</w:t>
      </w:r>
    </w:p>
    <w:p w14:paraId="13970C92" w14:textId="77777777" w:rsidR="009E688C" w:rsidRPr="005661DE" w:rsidRDefault="009E688C" w:rsidP="008C2522">
      <w:pPr>
        <w:snapToGrid w:val="0"/>
        <w:spacing w:line="300" w:lineRule="auto"/>
      </w:pPr>
      <w:r w:rsidRPr="005661DE">
        <w:rPr>
          <w:rFonts w:hint="eastAsia"/>
        </w:rPr>
        <w:t>现行的量刑指导意见只涵盖</w:t>
      </w:r>
      <w:r w:rsidRPr="005661DE">
        <w:t>23</w:t>
      </w:r>
      <w:r w:rsidRPr="005661DE">
        <w:rPr>
          <w:rFonts w:hint="eastAsia"/>
        </w:rPr>
        <w:t>个罪名，随着认罪认罚从宽制度被写入刑事诉讼法，且《指导意见》中明确所有刑事案件都可以使用认罪认罚从宽制度，现行的量刑指导意见已难以满足司法工作的需要。考虑到我国幅员辽阔，经济发展水平存在地区差异，可以首先从一些常见的案件开始做起，细化量刑标准，逐步实现量刑指导意见全覆盖。</w:t>
      </w:r>
    </w:p>
    <w:p w14:paraId="24C9EA73" w14:textId="77777777" w:rsidR="009E688C" w:rsidRPr="005661DE" w:rsidRDefault="009E688C" w:rsidP="008C2522">
      <w:pPr>
        <w:snapToGrid w:val="0"/>
        <w:spacing w:line="300" w:lineRule="auto"/>
      </w:pPr>
      <w:r w:rsidRPr="005661DE">
        <w:rPr>
          <w:rFonts w:hint="eastAsia"/>
        </w:rPr>
        <w:t>由于社会经济飞速发展，新型案件、疑难案件频发，建立专业机构统一负责量刑规范的制定和修改已迫在眉睫。通过设立制定量刑指导意见的专业机构，在统一量刑标准的基础上，根据实际情况逐步更新量刑指导意见中的罪名范围，使其覆盖面广，更加具有可操作性。一方面，专门机构应当保持专业性，因社会发展和司法实践的需求及时修改更新量刑指导意见，确保量刑指导意见的适用性和实用性；另一方面，机构人员应当保证中立性和多样性</w:t>
      </w:r>
      <w:r w:rsidR="00315097" w:rsidRPr="005661DE">
        <w:rPr>
          <w:rFonts w:hint="eastAsia"/>
        </w:rPr>
        <w:t>，涵</w:t>
      </w:r>
      <w:r w:rsidRPr="005661DE">
        <w:rPr>
          <w:rFonts w:hint="eastAsia"/>
        </w:rPr>
        <w:t>盖侦查机关、检察机关、审判机关以及法学领域权威人士等，使得量刑指导意见的制定更具科学性和公正性。</w:t>
      </w:r>
    </w:p>
    <w:p w14:paraId="7133F419" w14:textId="77777777" w:rsidR="009E688C" w:rsidRPr="005661DE" w:rsidRDefault="009E688C" w:rsidP="008C2522">
      <w:pPr>
        <w:pStyle w:val="3"/>
        <w:snapToGrid w:val="0"/>
      </w:pPr>
      <w:r w:rsidRPr="005661DE">
        <w:t>4.</w:t>
      </w:r>
      <w:r w:rsidRPr="005661DE">
        <w:rPr>
          <w:rFonts w:hint="eastAsia"/>
        </w:rPr>
        <w:t>大力推进量刑建议智能化</w:t>
      </w:r>
    </w:p>
    <w:p w14:paraId="7128575E" w14:textId="77777777" w:rsidR="009E688C" w:rsidRPr="005661DE" w:rsidRDefault="00367CA0" w:rsidP="008C2522">
      <w:pPr>
        <w:snapToGrid w:val="0"/>
        <w:spacing w:line="300" w:lineRule="auto"/>
      </w:pPr>
      <w:r w:rsidRPr="005661DE">
        <w:rPr>
          <w:rFonts w:hint="eastAsia"/>
        </w:rPr>
        <w:t>目前，无论是在金融证券、卫生环保还是公共交通等领域，大数据技术都作为解决效率低下，提高工作质量的重要途径。在大数据和人工智能的技术各个领域都得到较为成熟的应用</w:t>
      </w:r>
      <w:r w:rsidR="00E65404" w:rsidRPr="005661DE">
        <w:rPr>
          <w:rFonts w:hint="eastAsia"/>
        </w:rPr>
        <w:t>，也</w:t>
      </w:r>
      <w:r w:rsidRPr="005661DE">
        <w:rPr>
          <w:rFonts w:hint="eastAsia"/>
        </w:rPr>
        <w:t>应</w:t>
      </w:r>
      <w:r w:rsidR="00E65404" w:rsidRPr="005661DE">
        <w:rPr>
          <w:rFonts w:hint="eastAsia"/>
        </w:rPr>
        <w:t>充分</w:t>
      </w:r>
      <w:r w:rsidRPr="005661DE">
        <w:rPr>
          <w:rFonts w:hint="eastAsia"/>
        </w:rPr>
        <w:t>发挥其在司法领域中的优势</w:t>
      </w:r>
      <w:r w:rsidR="00E65404" w:rsidRPr="005661DE">
        <w:rPr>
          <w:rFonts w:hint="eastAsia"/>
        </w:rPr>
        <w:t>。针对量刑活动，</w:t>
      </w:r>
      <w:r w:rsidR="009E688C" w:rsidRPr="005661DE">
        <w:rPr>
          <w:rFonts w:hint="eastAsia"/>
        </w:rPr>
        <w:t>加强人工智能与量刑建议的结合，运用大数据，实现同案同判的效果。对适用现行法律规范的已判决案件进行分析研判，整理形成数据库，设置量刑起点、确定基准刑等，设计开发量刑辅助系统。检察机关在进行量刑活动时，输入基本案情，勾选本案犯罪嫌疑人的案件情况，系统将快速提供精准的量刑建议提供数据和案例参考。智能化的量刑建议可以大大提高检察机关的办事效率，并</w:t>
      </w:r>
      <w:r w:rsidR="00285070" w:rsidRPr="005661DE">
        <w:rPr>
          <w:rFonts w:hint="eastAsia"/>
        </w:rPr>
        <w:t>实现量刑建议的精准把握，</w:t>
      </w:r>
      <w:r w:rsidR="00F50DF8" w:rsidRPr="005661DE">
        <w:rPr>
          <w:rFonts w:hint="eastAsia"/>
        </w:rPr>
        <w:t>达到</w:t>
      </w:r>
      <w:r w:rsidR="009E688C" w:rsidRPr="005661DE">
        <w:rPr>
          <w:rFonts w:hint="eastAsia"/>
        </w:rPr>
        <w:t>检察官提出“带有数据和案例”的具有说服力的量刑建议的目的。</w:t>
      </w:r>
    </w:p>
    <w:p w14:paraId="33ACADC1" w14:textId="77777777" w:rsidR="009E688C" w:rsidRPr="005661DE" w:rsidRDefault="009E688C" w:rsidP="008C2522">
      <w:pPr>
        <w:pStyle w:val="2"/>
        <w:snapToGrid w:val="0"/>
      </w:pPr>
      <w:bookmarkStart w:id="58" w:name="_Toc36842063"/>
      <w:bookmarkStart w:id="59" w:name="_Toc36844735"/>
      <w:r w:rsidRPr="005661DE">
        <w:rPr>
          <w:rFonts w:hint="eastAsia"/>
        </w:rPr>
        <w:t>（三）规范量刑协商程序，充分发挥辩护律师的作用</w:t>
      </w:r>
      <w:bookmarkEnd w:id="58"/>
      <w:bookmarkEnd w:id="59"/>
    </w:p>
    <w:p w14:paraId="0292A1A7" w14:textId="77777777" w:rsidR="009E688C" w:rsidRPr="005661DE" w:rsidRDefault="009E688C" w:rsidP="008C2522">
      <w:pPr>
        <w:snapToGrid w:val="0"/>
        <w:spacing w:line="300" w:lineRule="auto"/>
      </w:pPr>
      <w:r w:rsidRPr="005661DE">
        <w:rPr>
          <w:rFonts w:hint="eastAsia"/>
        </w:rPr>
        <w:t>在全力推进认罪认罚从宽制度中，</w:t>
      </w:r>
      <w:r w:rsidR="00E210FB">
        <w:rPr>
          <w:rFonts w:hint="eastAsia"/>
        </w:rPr>
        <w:t>在控辩之间建立量刑协商程序是必经之路。</w:t>
      </w:r>
      <w:r w:rsidRPr="005661DE">
        <w:rPr>
          <w:rFonts w:hint="eastAsia"/>
        </w:rPr>
        <w:t>法律规定犯罪嫌疑人通过认罪认罚</w:t>
      </w:r>
      <w:r w:rsidR="00B65762" w:rsidRPr="005661DE">
        <w:rPr>
          <w:rFonts w:hint="eastAsia"/>
        </w:rPr>
        <w:t>的方式</w:t>
      </w:r>
      <w:r w:rsidRPr="005661DE">
        <w:rPr>
          <w:rFonts w:hint="eastAsia"/>
        </w:rPr>
        <w:t>与检察机关</w:t>
      </w:r>
      <w:r w:rsidR="00B65762" w:rsidRPr="005661DE">
        <w:rPr>
          <w:rFonts w:hint="eastAsia"/>
        </w:rPr>
        <w:t>在量刑上</w:t>
      </w:r>
      <w:r w:rsidRPr="005661DE">
        <w:rPr>
          <w:rFonts w:hint="eastAsia"/>
        </w:rPr>
        <w:t>达成一致</w:t>
      </w:r>
      <w:r w:rsidR="00B65762" w:rsidRPr="005661DE">
        <w:rPr>
          <w:rFonts w:hint="eastAsia"/>
        </w:rPr>
        <w:t>意见</w:t>
      </w:r>
      <w:r w:rsidRPr="005661DE">
        <w:rPr>
          <w:rFonts w:hint="eastAsia"/>
        </w:rPr>
        <w:t>，除特别情况外需要签署认罪认罚具结书。也就是说，量刑协商程序主要发生在庭前，而认罪认罚从宽案件的协商程序由检察机关主导，</w:t>
      </w:r>
      <w:r w:rsidR="00AA3009" w:rsidRPr="005661DE">
        <w:rPr>
          <w:rFonts w:hint="eastAsia"/>
        </w:rPr>
        <w:t>最终量刑的决定权属于检察机关</w:t>
      </w:r>
      <w:r w:rsidRPr="005661DE">
        <w:rPr>
          <w:rFonts w:hint="eastAsia"/>
        </w:rPr>
        <w:t>，犯罪嫌疑人及其辩护律师只有被“听取意见”的权利。如前文所述，我国法律并没有明确规定量刑协商的程序，实践中多以因案件实际情况不同存在不同的协商程序，如案件事实不清的协商程序、不起诉的协商程序、刑事和解的协商程序等。有学者认为，认罪认罚案件中，被告人对律师帮助需求最为迫切的是检察院的审查起诉阶段，而非审判阶段。</w:t>
      </w:r>
      <w:r w:rsidRPr="006146D6">
        <w:rPr>
          <w:vertAlign w:val="superscript"/>
        </w:rPr>
        <w:footnoteReference w:id="36"/>
      </w:r>
      <w:r w:rsidRPr="005661DE">
        <w:rPr>
          <w:rFonts w:hint="eastAsia"/>
        </w:rPr>
        <w:t>笔者十分赞同该观点。面对检察官在量刑协商中的主导地位，如不建立公正合理的协商程序，面对被告人法律知识缺乏的实际情况，将难以保障被告人的合法权益。规范的量刑协商程序应当是在双方平等的基础上进行的，最终的量刑建议不应当是检察官的单方行为，而应当是在充分听取辩方的意见、吸收辩方合理意见的基础上形成的合意。</w:t>
      </w:r>
    </w:p>
    <w:p w14:paraId="4E5043A8" w14:textId="77777777" w:rsidR="009E688C" w:rsidRPr="005661DE" w:rsidRDefault="009E688C" w:rsidP="008C2522">
      <w:pPr>
        <w:pStyle w:val="3"/>
        <w:snapToGrid w:val="0"/>
      </w:pPr>
      <w:r w:rsidRPr="005661DE">
        <w:t>1.</w:t>
      </w:r>
      <w:r w:rsidRPr="005661DE">
        <w:rPr>
          <w:rFonts w:hint="eastAsia"/>
        </w:rPr>
        <w:t>明确值班律师的职责</w:t>
      </w:r>
    </w:p>
    <w:p w14:paraId="78406284" w14:textId="77777777" w:rsidR="009E688C" w:rsidRPr="005661DE" w:rsidRDefault="009E688C" w:rsidP="008C2522">
      <w:pPr>
        <w:snapToGrid w:val="0"/>
        <w:spacing w:line="300" w:lineRule="auto"/>
      </w:pPr>
      <w:r w:rsidRPr="005661DE">
        <w:rPr>
          <w:rFonts w:hint="eastAsia"/>
        </w:rPr>
        <w:t>根据两院三部《关于开展法律援助值班律师工作的意见》及</w:t>
      </w:r>
      <w:r w:rsidR="00B65762" w:rsidRPr="005661DE">
        <w:rPr>
          <w:rFonts w:hint="eastAsia"/>
        </w:rPr>
        <w:t>《</w:t>
      </w:r>
      <w:r w:rsidRPr="005661DE">
        <w:rPr>
          <w:rFonts w:hint="eastAsia"/>
        </w:rPr>
        <w:t>刑事诉讼法</w:t>
      </w:r>
      <w:r w:rsidR="00B65762" w:rsidRPr="005661DE">
        <w:rPr>
          <w:rFonts w:hint="eastAsia"/>
        </w:rPr>
        <w:t>》</w:t>
      </w:r>
      <w:r w:rsidRPr="005661DE">
        <w:rPr>
          <w:rFonts w:hint="eastAsia"/>
        </w:rPr>
        <w:t>的规定，值</w:t>
      </w:r>
      <w:r w:rsidRPr="005661DE">
        <w:rPr>
          <w:rFonts w:hint="eastAsia"/>
        </w:rPr>
        <w:lastRenderedPageBreak/>
        <w:t>班律师并不具有“辩护人”的身份，故其能发挥的法律帮助的作用仍然有限。目前被指派从事法律援助的值班律师，除了为犯罪嫌疑人提供法律咨询外，究竟还能提供什么法律帮助，各司法机关并未形成统一的认识。实践中存在值班律师参与率低、参与程度不够的情形，并且由于值班律师队伍的素质不一，他们在量刑协商程序中提供的法律援助的质量也难以保证。在</w:t>
      </w:r>
      <w:r w:rsidR="00315097" w:rsidRPr="005661DE">
        <w:rPr>
          <w:rFonts w:hint="eastAsia"/>
        </w:rPr>
        <w:t>适</w:t>
      </w:r>
      <w:r w:rsidR="00B65762" w:rsidRPr="005661DE">
        <w:rPr>
          <w:rFonts w:hint="eastAsia"/>
        </w:rPr>
        <w:t>用</w:t>
      </w:r>
      <w:r w:rsidRPr="005661DE">
        <w:rPr>
          <w:rFonts w:hint="eastAsia"/>
        </w:rPr>
        <w:t>罪认罚</w:t>
      </w:r>
      <w:r w:rsidR="00B65762" w:rsidRPr="005661DE">
        <w:rPr>
          <w:rFonts w:hint="eastAsia"/>
        </w:rPr>
        <w:t>认罚</w:t>
      </w:r>
      <w:r w:rsidRPr="005661DE">
        <w:rPr>
          <w:rFonts w:hint="eastAsia"/>
        </w:rPr>
        <w:t>从宽</w:t>
      </w:r>
      <w:r w:rsidR="00B65762" w:rsidRPr="005661DE">
        <w:rPr>
          <w:rFonts w:hint="eastAsia"/>
        </w:rPr>
        <w:t>制度</w:t>
      </w:r>
      <w:r w:rsidRPr="005661DE">
        <w:rPr>
          <w:rFonts w:hint="eastAsia"/>
        </w:rPr>
        <w:t>的</w:t>
      </w:r>
      <w:r w:rsidR="00B65762" w:rsidRPr="005661DE">
        <w:rPr>
          <w:rFonts w:hint="eastAsia"/>
        </w:rPr>
        <w:t>案件中，值班律师提供法律援助的主要目的是要保障被告人自愿承认罪行，接受刑罚</w:t>
      </w:r>
      <w:r w:rsidRPr="005661DE">
        <w:rPr>
          <w:rFonts w:hint="eastAsia"/>
        </w:rPr>
        <w:t>。法律应对值班律师的身份加以明确，使其拥有明确的辩护权。值班律师在量刑协商过程中，应切实保障被告人的权利，协助被告人知悉法律的规定和认罪认罚所要面对的后果，解决控辩双方信息不对称的问题，避免冤假错案的发生。通过规范量刑协商的程序，杜绝流于形式的法律援助，防止</w:t>
      </w:r>
      <w:r w:rsidR="00B65762" w:rsidRPr="005661DE">
        <w:rPr>
          <w:rFonts w:hint="eastAsia"/>
        </w:rPr>
        <w:t>值班律师只是在被告人认罪认罚后，做签署具结书的见证者。此外，在值班律师在场的情况下，即便</w:t>
      </w:r>
      <w:r w:rsidRPr="005661DE">
        <w:rPr>
          <w:rFonts w:hint="eastAsia"/>
        </w:rPr>
        <w:t>犯罪嫌疑人签署认罪认罚具结书，值班律师仍有权独立发表与认罪认罚具结书内容不一致的辩护意见，以确保案件得到公正的处理。</w:t>
      </w:r>
    </w:p>
    <w:p w14:paraId="591054AB" w14:textId="77777777" w:rsidR="009E688C" w:rsidRPr="005661DE" w:rsidRDefault="009E688C" w:rsidP="008C2522">
      <w:pPr>
        <w:pStyle w:val="3"/>
        <w:snapToGrid w:val="0"/>
      </w:pPr>
      <w:r w:rsidRPr="005661DE">
        <w:t>2.</w:t>
      </w:r>
      <w:r w:rsidRPr="005661DE">
        <w:rPr>
          <w:rFonts w:hint="eastAsia"/>
        </w:rPr>
        <w:t>保障值班律师的权利</w:t>
      </w:r>
    </w:p>
    <w:p w14:paraId="628D018E" w14:textId="77777777" w:rsidR="009E688C" w:rsidRPr="005661DE" w:rsidRDefault="009E688C" w:rsidP="008C2522">
      <w:pPr>
        <w:snapToGrid w:val="0"/>
        <w:spacing w:line="300" w:lineRule="auto"/>
      </w:pPr>
      <w:r w:rsidRPr="005661DE">
        <w:rPr>
          <w:rFonts w:hint="eastAsia"/>
        </w:rPr>
        <w:t>阅卷权、会见权是值班律师掌握了解案情、证据收集情况以及检察官拟提出的量刑建议是否正确的重要保障。检察机关应充分保障值班律师的阅卷权、会见权，并为律师的阅卷、会见提供便利。值班律师应主动会见犯罪嫌疑人，第一时间听取犯罪嫌疑人的辩解和意见，详细阐明认罪认罚后的法律后果，并就检察官的量刑建议是否恰当等问题，与其进行充分的沟通，了解被告人的自愿性，保障被告人的认罪的真实性。当犯罪嫌疑人与律师的意见存在分歧时，以犯罪嫌疑人的决定为主，但应对值班律师的意见进行记录并随案移送至法庭。检察机关在提出量刑建议前，应当以一种中立者的心态听取值班律师的意见。同时，值班律师应当充分行使辩护权，积极参与审查起诉环节的量刑协商过程，认真维护犯罪嫌疑人的合法权益。</w:t>
      </w:r>
    </w:p>
    <w:p w14:paraId="568191D5" w14:textId="77777777" w:rsidR="009E688C" w:rsidRPr="005661DE" w:rsidRDefault="009E688C" w:rsidP="008C2522">
      <w:pPr>
        <w:pStyle w:val="2"/>
        <w:snapToGrid w:val="0"/>
      </w:pPr>
      <w:bookmarkStart w:id="60" w:name="_Toc36842064"/>
      <w:bookmarkStart w:id="61" w:name="_Toc36844736"/>
      <w:r w:rsidRPr="005661DE">
        <w:rPr>
          <w:rFonts w:hint="eastAsia"/>
        </w:rPr>
        <w:t>（四）加强对量刑建议权的监督和制约，严格量刑建议权的行使</w:t>
      </w:r>
      <w:bookmarkEnd w:id="60"/>
      <w:bookmarkEnd w:id="61"/>
    </w:p>
    <w:p w14:paraId="43C46BC6" w14:textId="77777777" w:rsidR="009E688C" w:rsidRPr="005661DE" w:rsidRDefault="009E688C" w:rsidP="008C2522">
      <w:pPr>
        <w:snapToGrid w:val="0"/>
        <w:spacing w:line="300" w:lineRule="auto"/>
      </w:pPr>
      <w:r w:rsidRPr="005661DE">
        <w:rPr>
          <w:rFonts w:hint="eastAsia"/>
        </w:rPr>
        <w:t>检察机关的量刑建议活动应该严格依法、依规进行</w:t>
      </w:r>
      <w:r w:rsidR="003A160A" w:rsidRPr="005661DE">
        <w:rPr>
          <w:rFonts w:hint="eastAsia"/>
        </w:rPr>
        <w:t>。面对检察机关量刑建议权的不断扩张，应当加强对量刑建议权的</w:t>
      </w:r>
      <w:r w:rsidRPr="005661DE">
        <w:rPr>
          <w:rFonts w:hint="eastAsia"/>
        </w:rPr>
        <w:t>制约，提高量刑建议质量。除了前文提到的通过完善律师的作用</w:t>
      </w:r>
      <w:r w:rsidR="000B79A7" w:rsidRPr="005661DE">
        <w:rPr>
          <w:rFonts w:hint="eastAsia"/>
        </w:rPr>
        <w:t>对量刑建议</w:t>
      </w:r>
      <w:r w:rsidR="00B65762" w:rsidRPr="005661DE">
        <w:rPr>
          <w:rFonts w:hint="eastAsia"/>
        </w:rPr>
        <w:t>加强</w:t>
      </w:r>
      <w:r w:rsidR="00CE2ECC" w:rsidRPr="005661DE">
        <w:rPr>
          <w:rFonts w:hint="eastAsia"/>
        </w:rPr>
        <w:t>监督</w:t>
      </w:r>
      <w:r w:rsidRPr="005661DE">
        <w:rPr>
          <w:rFonts w:hint="eastAsia"/>
        </w:rPr>
        <w:t>外，还应当通过以下几种方式强化。</w:t>
      </w:r>
    </w:p>
    <w:p w14:paraId="61676B23" w14:textId="77777777" w:rsidR="009E688C" w:rsidRPr="005661DE" w:rsidRDefault="009E688C" w:rsidP="008C2522">
      <w:pPr>
        <w:pStyle w:val="3"/>
        <w:snapToGrid w:val="0"/>
      </w:pPr>
      <w:r w:rsidRPr="005661DE">
        <w:t>1.</w:t>
      </w:r>
      <w:r w:rsidRPr="005661DE">
        <w:rPr>
          <w:rFonts w:hint="eastAsia"/>
        </w:rPr>
        <w:t>强化法院对量刑建议权的有效制约</w:t>
      </w:r>
    </w:p>
    <w:p w14:paraId="5786003F" w14:textId="77777777" w:rsidR="009E688C" w:rsidRPr="005661DE" w:rsidRDefault="00453EB3" w:rsidP="008C2522">
      <w:pPr>
        <w:snapToGrid w:val="0"/>
        <w:spacing w:line="300" w:lineRule="auto"/>
      </w:pPr>
      <w:r w:rsidRPr="005661DE">
        <w:rPr>
          <w:rFonts w:hint="eastAsia"/>
        </w:rPr>
        <w:t>如何合理规制检察官的量刑建议权和法院</w:t>
      </w:r>
      <w:r w:rsidR="009E688C" w:rsidRPr="005661DE">
        <w:rPr>
          <w:rFonts w:hint="eastAsia"/>
        </w:rPr>
        <w:t>的量刑裁判权，是完善认罪认罚从宽制度中重要的一环。“当过于强调量刑建议对量刑裁判的制约容易导致求刑权对量刑权的僭越，反之，过度弱化量刑建议的制约则会增加从宽利益的不确定性，从而破坏认罪认罚从宽制度的动力机制。”</w:t>
      </w:r>
      <w:r w:rsidR="009E688C" w:rsidRPr="006146D6">
        <w:rPr>
          <w:vertAlign w:val="superscript"/>
        </w:rPr>
        <w:footnoteReference w:id="37"/>
      </w:r>
      <w:r w:rsidR="009E688C" w:rsidRPr="005661DE">
        <w:rPr>
          <w:rFonts w:hint="eastAsia"/>
        </w:rPr>
        <w:t>在以审判为中心的诉讼模式下，在实践中逐步平衡量刑权与审判权的关系，是实现庭审实质化，推进审判中心主义诉讼改革的必然要求，也是当下认罪认罚从宽制度下检察机关如何合理行使量刑建议权必须研究的关键问题。一方面，建立一种合乎审判中心主义的量刑监督制度是发展以审判为中心的诉讼制度改革的内在要求；另一方面，正确定位检察机关量刑建议权在以审判为中心诉讼中的权力</w:t>
      </w:r>
      <w:r w:rsidR="00315097" w:rsidRPr="005661DE">
        <w:rPr>
          <w:rFonts w:hint="eastAsia"/>
        </w:rPr>
        <w:t>，</w:t>
      </w:r>
      <w:r w:rsidR="009E688C" w:rsidRPr="005661DE">
        <w:rPr>
          <w:rFonts w:hint="eastAsia"/>
        </w:rPr>
        <w:t>是贯彻和落实分工复制、互相配合、互相制约的刑事诉讼法原则</w:t>
      </w:r>
      <w:r w:rsidR="00315097" w:rsidRPr="005661DE">
        <w:rPr>
          <w:rFonts w:hint="eastAsia"/>
        </w:rPr>
        <w:t>的必然要求</w:t>
      </w:r>
      <w:r w:rsidR="009E688C" w:rsidRPr="005661DE">
        <w:rPr>
          <w:rFonts w:hint="eastAsia"/>
        </w:rPr>
        <w:t>。</w:t>
      </w:r>
    </w:p>
    <w:p w14:paraId="4AC44541" w14:textId="77777777" w:rsidR="009E688C" w:rsidRPr="005661DE" w:rsidRDefault="009E688C" w:rsidP="008C2522">
      <w:pPr>
        <w:pStyle w:val="3"/>
        <w:snapToGrid w:val="0"/>
      </w:pPr>
      <w:r w:rsidRPr="005661DE">
        <w:t>2.</w:t>
      </w:r>
      <w:r w:rsidRPr="005661DE">
        <w:rPr>
          <w:rFonts w:hint="eastAsia"/>
        </w:rPr>
        <w:t>强化当事人的监督</w:t>
      </w:r>
    </w:p>
    <w:p w14:paraId="66A1BCAE" w14:textId="77777777" w:rsidR="009E688C" w:rsidRPr="005661DE" w:rsidRDefault="009E688C" w:rsidP="008C2522">
      <w:pPr>
        <w:snapToGrid w:val="0"/>
        <w:spacing w:line="300" w:lineRule="auto"/>
      </w:pPr>
      <w:r w:rsidRPr="005661DE">
        <w:rPr>
          <w:rFonts w:hint="eastAsia"/>
        </w:rPr>
        <w:t>被告人发表量刑意见是监督检察机关量刑建议权行使的重要途径。被告人作为量刑活动中的一方，理应保障其认罪认罚的公正性和量刑协商的合理性，确保其发表真实的量刑意见。</w:t>
      </w:r>
      <w:r w:rsidRPr="005661DE">
        <w:rPr>
          <w:rFonts w:hint="eastAsia"/>
        </w:rPr>
        <w:lastRenderedPageBreak/>
        <w:t>刑事诉讼法赋予了被害人作为诉讼当事人的法律地位，在公诉案件审理过程中享有一系列诉讼权利。在认罪认罚案件中，被害人在量刑活动中应当享有参与和</w:t>
      </w:r>
      <w:r w:rsidR="00315097" w:rsidRPr="005661DE">
        <w:rPr>
          <w:rFonts w:hint="eastAsia"/>
        </w:rPr>
        <w:t>发表意</w:t>
      </w:r>
      <w:r w:rsidRPr="005661DE">
        <w:rPr>
          <w:rFonts w:hint="eastAsia"/>
        </w:rPr>
        <w:t>见的权利，这是当事人诉讼地位的当然体现。被害人作为量刑活动的独立参与方，应切实维护其针对量刑发表自己意见的权利。通过加强当事人对量刑建议程序的监督，可以引导当事人理性表达真实诉求，减少其上诉、上访的可能性，以充分发挥认罪认罚制度在定纷止争、化解社会矛盾中的作用。</w:t>
      </w:r>
    </w:p>
    <w:p w14:paraId="65D058E4" w14:textId="77777777" w:rsidR="009E688C" w:rsidRPr="005661DE" w:rsidRDefault="009E688C" w:rsidP="008C2522">
      <w:pPr>
        <w:pStyle w:val="3"/>
        <w:snapToGrid w:val="0"/>
      </w:pPr>
      <w:r w:rsidRPr="005661DE">
        <w:t>3.</w:t>
      </w:r>
      <w:r w:rsidRPr="005661DE">
        <w:rPr>
          <w:rFonts w:hint="eastAsia"/>
        </w:rPr>
        <w:t>强化检察机关内部的监督制约</w:t>
      </w:r>
    </w:p>
    <w:p w14:paraId="04EF226F" w14:textId="77777777" w:rsidR="009E688C" w:rsidRPr="005661DE" w:rsidRDefault="009E688C" w:rsidP="008C2522">
      <w:pPr>
        <w:snapToGrid w:val="0"/>
        <w:spacing w:line="300" w:lineRule="auto"/>
      </w:pPr>
      <w:r w:rsidRPr="005661DE">
        <w:rPr>
          <w:rFonts w:hint="eastAsia"/>
        </w:rPr>
        <w:t>检察机关内部对案件进行实时动态管理，要求办案的检察官在案件系统内及时更新量刑建议活动的进展情况，同级相关部门和上级检察机关可以通过内部办案系统加以审查监督。下级检察机关在向法院移送量建议书前应报上级检察机关相关部门备案，上级机关对案件进行审查，发现问题及时解决。内部审查不仅要审查量刑活动程序上的规范，也要注重对案件的实体审查。司法责任制要求检察院健全检察管理和监督机制，针对认罪认罚案件中检察机关行使量刑建议权应加强上级对下级检察院量刑工作的领导，通过建立量刑建议质量评价机制，以抽查、评查等方式对量刑建议的质量进行监督，从而构建开放透明的阳光司法机制。</w:t>
      </w:r>
    </w:p>
    <w:p w14:paraId="6508BC9C" w14:textId="77777777" w:rsidR="009E688C" w:rsidRPr="005661DE" w:rsidRDefault="009E688C" w:rsidP="008C2522">
      <w:pPr>
        <w:pStyle w:val="3"/>
        <w:snapToGrid w:val="0"/>
      </w:pPr>
      <w:r w:rsidRPr="005661DE">
        <w:t>4.</w:t>
      </w:r>
      <w:r w:rsidRPr="005661DE">
        <w:rPr>
          <w:rFonts w:hint="eastAsia"/>
        </w:rPr>
        <w:t>加强人民监督员的监督</w:t>
      </w:r>
    </w:p>
    <w:p w14:paraId="1B38A708" w14:textId="77777777" w:rsidR="009E688C" w:rsidRPr="005661DE" w:rsidRDefault="009E688C" w:rsidP="008C2522">
      <w:pPr>
        <w:snapToGrid w:val="0"/>
        <w:spacing w:line="300" w:lineRule="auto"/>
      </w:pPr>
      <w:r w:rsidRPr="005661DE">
        <w:rPr>
          <w:rFonts w:hint="eastAsia"/>
        </w:rPr>
        <w:t>人民监督员制度作为加强检察机关外部监督的创新举措之一，意在确保检察权规范行使，进一步提升检察公信力。随着认罪认罚从宽制度的全面实施，检察机关量刑建议权的扩张，检察机关应主动把量刑建议权纳入人民监督员的监督范围，根据实际情况制定人民监督员工作实施细则，将检察官的量刑建议情况纳入人民监督员的日常监督工作中，以促进执法公正。</w:t>
      </w:r>
    </w:p>
    <w:p w14:paraId="676CA922" w14:textId="77777777" w:rsidR="009E688C" w:rsidRPr="005661DE" w:rsidRDefault="009E688C" w:rsidP="008C2522">
      <w:pPr>
        <w:pStyle w:val="3"/>
        <w:snapToGrid w:val="0"/>
      </w:pPr>
      <w:r w:rsidRPr="005661DE">
        <w:t>5.</w:t>
      </w:r>
      <w:r w:rsidRPr="005661DE">
        <w:rPr>
          <w:rFonts w:hint="eastAsia"/>
        </w:rPr>
        <w:t>加强人大和社会监督</w:t>
      </w:r>
    </w:p>
    <w:p w14:paraId="4EA16547" w14:textId="77777777" w:rsidR="009E688C" w:rsidRPr="005661DE" w:rsidRDefault="009E688C" w:rsidP="008C2522">
      <w:pPr>
        <w:snapToGrid w:val="0"/>
        <w:spacing w:line="300" w:lineRule="auto"/>
      </w:pPr>
      <w:r w:rsidRPr="005661DE">
        <w:rPr>
          <w:rFonts w:hint="eastAsia"/>
        </w:rPr>
        <w:t>人大作为国家权力机关，有权对检察机关量刑建议权的行使情况进行监督，人大常委会通过听取和审议检察院对量刑建议的专项工作报告和执法检查，促进检察机关量刑建议权依法、公开、公正地行使。检察机关通过对典型个案公开量刑建议书，增强社会对量刑建议的关注，同时也有助于充分发挥社会舆论的监督作用。</w:t>
      </w:r>
    </w:p>
    <w:p w14:paraId="20B72C29" w14:textId="77777777" w:rsidR="009E688C" w:rsidRPr="005661DE" w:rsidRDefault="009E688C" w:rsidP="008C2522">
      <w:pPr>
        <w:pStyle w:val="2"/>
        <w:snapToGrid w:val="0"/>
      </w:pPr>
      <w:bookmarkStart w:id="62" w:name="_Toc36842065"/>
      <w:bookmarkStart w:id="63" w:name="_Toc36844737"/>
      <w:r w:rsidRPr="005661DE">
        <w:rPr>
          <w:rFonts w:hint="eastAsia"/>
        </w:rPr>
        <w:t>（五）构建量刑建议说理机制，提高量刑建议公信力</w:t>
      </w:r>
      <w:bookmarkEnd w:id="62"/>
      <w:bookmarkEnd w:id="63"/>
    </w:p>
    <w:p w14:paraId="2E25F2CB" w14:textId="77777777" w:rsidR="009E688C" w:rsidRPr="005661DE" w:rsidRDefault="009E688C" w:rsidP="008C2522">
      <w:pPr>
        <w:snapToGrid w:val="0"/>
        <w:spacing w:line="300" w:lineRule="auto"/>
      </w:pPr>
      <w:r w:rsidRPr="005661DE">
        <w:rPr>
          <w:rFonts w:hint="eastAsia"/>
        </w:rPr>
        <w:t>当前，法院裁判文书说理的重要性已经被大家所认识，但是对于量刑建议是否也要进行说理，相关规定不明确，实践中说理不够现象严重。笔者认为，对认罪认罚从宽案件检察机关要构建量刑建议说理机制，主要理由有：第一，有利于说明各具体案例量刑情节的适用情况，能够充分体现量刑建议的透明性和正当性。第二，有利于说服辩方接受检察官提出的量刑建议。检察机关通过分析案情事实、罗列收集的证据以及阐明法律依据，来说明量刑建议的准确性和适当性，有助于辩方对量刑建议的理解，获得其对量刑建议的认同，加快对量刑合意的达成，一定程度上降低认罪认罚后反悔的机率。第三，有利于审判机关采纳量刑建议。检察官通过对控辩双方的量刑活动和量刑建议依据进行详细的解释并记录提交至法庭，庭审法官只需重点对辩方的真实性以及量刑建议是否合乎规范进行审查。这不仅可以减轻法官的庭审工作压力，提高审判效率，节约了司法资源，同时详细的量刑说理使法官心中有数，更大程度的对检察官所提出的量刑建议予以认可。可见，在认罪认罚从宽案件中建立检察机关的量刑建议说理机制意义重大，必须引起重视。笔者认为，构建量刑建议说理机制主要建立完善以下两项制度：</w:t>
      </w:r>
    </w:p>
    <w:p w14:paraId="00E01DAE" w14:textId="77777777" w:rsidR="009E688C" w:rsidRPr="005661DE" w:rsidRDefault="009E688C" w:rsidP="008C2522">
      <w:pPr>
        <w:pStyle w:val="3"/>
        <w:snapToGrid w:val="0"/>
      </w:pPr>
      <w:r w:rsidRPr="005661DE">
        <w:t>1.</w:t>
      </w:r>
      <w:r w:rsidRPr="005661DE">
        <w:rPr>
          <w:rFonts w:hint="eastAsia"/>
        </w:rPr>
        <w:t>完善量刑建议书制度</w:t>
      </w:r>
    </w:p>
    <w:p w14:paraId="30DF5E13" w14:textId="77777777" w:rsidR="009E688C" w:rsidRPr="005661DE" w:rsidRDefault="009E688C" w:rsidP="008C2522">
      <w:pPr>
        <w:snapToGrid w:val="0"/>
        <w:spacing w:line="300" w:lineRule="auto"/>
      </w:pPr>
      <w:r w:rsidRPr="005661DE">
        <w:rPr>
          <w:rFonts w:hint="eastAsia"/>
        </w:rPr>
        <w:t>现行规定量刑建议书可被起诉书所代替，这种做法应予改变。量刑建议书作为检察机关</w:t>
      </w:r>
      <w:r w:rsidRPr="005661DE">
        <w:rPr>
          <w:rFonts w:hint="eastAsia"/>
        </w:rPr>
        <w:lastRenderedPageBreak/>
        <w:t>对量刑建议进行说明解释的载体应当与起诉书有同等的法律地位，实现每案必备，随起诉书一同移送至法院。量刑建议书应使用通用、规范、易懂的语言，将量刑情况清楚完整地传达给当事人。在量刑建议书中，主办检察官应将犯罪嫌疑人的认罪情况、自首、立功等法定或酌定量刑情节、量刑协商过程以及对司法数据库中类似案例的量刑情况等详加说明和阐述。当然，为考虑效率，案件简单争议不大的案件量刑建议书可做适当简化，但不可省略。</w:t>
      </w:r>
    </w:p>
    <w:p w14:paraId="0428CBC9" w14:textId="77777777" w:rsidR="009E688C" w:rsidRPr="005661DE" w:rsidRDefault="009E688C" w:rsidP="008C2522">
      <w:pPr>
        <w:pStyle w:val="3"/>
        <w:snapToGrid w:val="0"/>
      </w:pPr>
      <w:r w:rsidRPr="005661DE">
        <w:t>2.</w:t>
      </w:r>
      <w:r w:rsidRPr="005661DE">
        <w:rPr>
          <w:rFonts w:hint="eastAsia"/>
        </w:rPr>
        <w:t>未采纳案件量刑建议评估报告制度</w:t>
      </w:r>
    </w:p>
    <w:p w14:paraId="2C1E8492" w14:textId="77777777" w:rsidR="009E688C" w:rsidRPr="005661DE" w:rsidRDefault="009E688C" w:rsidP="008C2522">
      <w:pPr>
        <w:snapToGrid w:val="0"/>
        <w:spacing w:line="300" w:lineRule="auto"/>
      </w:pPr>
      <w:r w:rsidRPr="005661DE">
        <w:rPr>
          <w:rFonts w:hint="eastAsia"/>
        </w:rPr>
        <w:t>针对未被法院采纳量刑建议的案件，检察机关要加强对判决书的审查，及时向法官了解情况，掌握不被采纳的原因、理由。检察官应结合判决结果出具书面说明和评估意见。如果属于法院事实认定错误或适用法律明显不当的，应当通过抗诉程序纠正裁判结果；如果事实认定和适用法律无明显错误，只是由于检法认识上的不同，量刑存在一定偏差的，可以通过检察建议的方式，要求法院说明量刑建议不被采纳的原因。通过建立量刑评估报告制度，不断总结量刑经验，提高量刑能力，从而把检察机关量刑建议的准确度和公信力提高到一个新阶段。</w:t>
      </w:r>
    </w:p>
    <w:p w14:paraId="29D0AD1E" w14:textId="77777777" w:rsidR="00734BAE" w:rsidRDefault="00734BAE" w:rsidP="008C2522">
      <w:pPr>
        <w:snapToGrid w:val="0"/>
        <w:spacing w:line="300" w:lineRule="auto"/>
      </w:pPr>
    </w:p>
    <w:p w14:paraId="1A8B849A" w14:textId="77777777" w:rsidR="00244D89" w:rsidRDefault="00244D89" w:rsidP="008C2522">
      <w:pPr>
        <w:snapToGrid w:val="0"/>
        <w:spacing w:line="300" w:lineRule="auto"/>
      </w:pPr>
    </w:p>
    <w:p w14:paraId="756AD92A" w14:textId="77777777" w:rsidR="00244D89" w:rsidRDefault="00244D89" w:rsidP="008C2522">
      <w:pPr>
        <w:snapToGrid w:val="0"/>
        <w:spacing w:line="300" w:lineRule="auto"/>
      </w:pPr>
    </w:p>
    <w:p w14:paraId="1F1A1C91" w14:textId="77777777" w:rsidR="00244D89" w:rsidRDefault="00244D89" w:rsidP="008C2522">
      <w:pPr>
        <w:snapToGrid w:val="0"/>
        <w:spacing w:line="300" w:lineRule="auto"/>
      </w:pPr>
    </w:p>
    <w:p w14:paraId="47C6A757" w14:textId="77777777" w:rsidR="00244D89" w:rsidRDefault="00244D89" w:rsidP="008C2522">
      <w:pPr>
        <w:snapToGrid w:val="0"/>
        <w:spacing w:line="300" w:lineRule="auto"/>
      </w:pPr>
    </w:p>
    <w:p w14:paraId="2B0E8514" w14:textId="77777777" w:rsidR="00244D89" w:rsidRDefault="00244D89" w:rsidP="008C2522">
      <w:pPr>
        <w:snapToGrid w:val="0"/>
        <w:spacing w:line="300" w:lineRule="auto"/>
      </w:pPr>
    </w:p>
    <w:p w14:paraId="67142D40" w14:textId="77777777" w:rsidR="00244D89" w:rsidRDefault="00244D89" w:rsidP="008C2522">
      <w:pPr>
        <w:snapToGrid w:val="0"/>
        <w:spacing w:line="300" w:lineRule="auto"/>
      </w:pPr>
    </w:p>
    <w:p w14:paraId="0C18DA0D" w14:textId="77777777" w:rsidR="00244D89" w:rsidRDefault="00244D89" w:rsidP="008C2522">
      <w:pPr>
        <w:snapToGrid w:val="0"/>
        <w:spacing w:line="300" w:lineRule="auto"/>
      </w:pPr>
    </w:p>
    <w:p w14:paraId="3071EA7B" w14:textId="77777777" w:rsidR="00244D89" w:rsidRDefault="00244D89" w:rsidP="008C2522">
      <w:pPr>
        <w:snapToGrid w:val="0"/>
        <w:spacing w:line="300" w:lineRule="auto"/>
      </w:pPr>
    </w:p>
    <w:p w14:paraId="1D3D4EA5" w14:textId="77777777" w:rsidR="00244D89" w:rsidRDefault="00244D89" w:rsidP="008C2522">
      <w:pPr>
        <w:snapToGrid w:val="0"/>
        <w:spacing w:line="300" w:lineRule="auto"/>
      </w:pPr>
    </w:p>
    <w:p w14:paraId="53FEE13D" w14:textId="77777777" w:rsidR="00244D89" w:rsidRDefault="00244D89" w:rsidP="008C2522">
      <w:pPr>
        <w:snapToGrid w:val="0"/>
        <w:spacing w:line="300" w:lineRule="auto"/>
      </w:pPr>
    </w:p>
    <w:p w14:paraId="7413BE12" w14:textId="77777777" w:rsidR="00244D89" w:rsidRDefault="00244D89" w:rsidP="008C2522">
      <w:pPr>
        <w:snapToGrid w:val="0"/>
        <w:spacing w:line="300" w:lineRule="auto"/>
      </w:pPr>
    </w:p>
    <w:p w14:paraId="346F9B5F" w14:textId="77777777" w:rsidR="00244D89" w:rsidRDefault="00244D89" w:rsidP="008C2522">
      <w:pPr>
        <w:snapToGrid w:val="0"/>
        <w:spacing w:line="300" w:lineRule="auto"/>
      </w:pPr>
    </w:p>
    <w:p w14:paraId="38A85577" w14:textId="77777777" w:rsidR="00244D89" w:rsidRDefault="00244D89" w:rsidP="008C2522">
      <w:pPr>
        <w:snapToGrid w:val="0"/>
        <w:spacing w:line="300" w:lineRule="auto"/>
      </w:pPr>
    </w:p>
    <w:p w14:paraId="2CE39AC9" w14:textId="77777777" w:rsidR="00244D89" w:rsidRDefault="00244D89" w:rsidP="008C2522">
      <w:pPr>
        <w:snapToGrid w:val="0"/>
        <w:spacing w:line="300" w:lineRule="auto"/>
      </w:pPr>
    </w:p>
    <w:p w14:paraId="32B5E1B8" w14:textId="77777777" w:rsidR="00244D89" w:rsidRDefault="00244D89" w:rsidP="008C2522">
      <w:pPr>
        <w:snapToGrid w:val="0"/>
        <w:spacing w:line="300" w:lineRule="auto"/>
      </w:pPr>
    </w:p>
    <w:p w14:paraId="06A11B60" w14:textId="77777777" w:rsidR="00244D89" w:rsidRDefault="00244D89" w:rsidP="008C2522">
      <w:pPr>
        <w:snapToGrid w:val="0"/>
        <w:spacing w:line="300" w:lineRule="auto"/>
      </w:pPr>
    </w:p>
    <w:p w14:paraId="6DA3E8F2" w14:textId="77777777" w:rsidR="00244D89" w:rsidRDefault="00244D89" w:rsidP="008C2522">
      <w:pPr>
        <w:snapToGrid w:val="0"/>
        <w:spacing w:line="300" w:lineRule="auto"/>
      </w:pPr>
    </w:p>
    <w:p w14:paraId="442C7929" w14:textId="77777777" w:rsidR="00244D89" w:rsidRDefault="00244D89" w:rsidP="008C2522">
      <w:pPr>
        <w:snapToGrid w:val="0"/>
        <w:spacing w:line="300" w:lineRule="auto"/>
      </w:pPr>
    </w:p>
    <w:p w14:paraId="7930ED49" w14:textId="77777777" w:rsidR="00244D89" w:rsidRDefault="00244D89" w:rsidP="008C2522">
      <w:pPr>
        <w:snapToGrid w:val="0"/>
        <w:spacing w:line="300" w:lineRule="auto"/>
      </w:pPr>
    </w:p>
    <w:p w14:paraId="650C1017" w14:textId="77777777" w:rsidR="00244D89" w:rsidRDefault="00244D89" w:rsidP="008C2522">
      <w:pPr>
        <w:snapToGrid w:val="0"/>
        <w:spacing w:line="300" w:lineRule="auto"/>
      </w:pPr>
    </w:p>
    <w:p w14:paraId="1AD224E4" w14:textId="77777777" w:rsidR="00244D89" w:rsidRDefault="00244D89" w:rsidP="008C2522">
      <w:pPr>
        <w:snapToGrid w:val="0"/>
        <w:spacing w:line="300" w:lineRule="auto"/>
      </w:pPr>
    </w:p>
    <w:p w14:paraId="0ADDECD6" w14:textId="77777777" w:rsidR="00244D89" w:rsidRDefault="00244D89" w:rsidP="008C2522">
      <w:pPr>
        <w:snapToGrid w:val="0"/>
        <w:spacing w:line="300" w:lineRule="auto"/>
      </w:pPr>
    </w:p>
    <w:p w14:paraId="7ED39572" w14:textId="77777777" w:rsidR="00244D89" w:rsidRDefault="00244D89" w:rsidP="008C2522">
      <w:pPr>
        <w:snapToGrid w:val="0"/>
        <w:spacing w:line="300" w:lineRule="auto"/>
      </w:pPr>
    </w:p>
    <w:p w14:paraId="1619301A" w14:textId="77777777" w:rsidR="00244D89" w:rsidRDefault="00244D89" w:rsidP="008C2522">
      <w:pPr>
        <w:snapToGrid w:val="0"/>
        <w:spacing w:line="300" w:lineRule="auto"/>
      </w:pPr>
    </w:p>
    <w:p w14:paraId="5F570852" w14:textId="77777777" w:rsidR="00244D89" w:rsidRDefault="00244D89" w:rsidP="008C2522">
      <w:pPr>
        <w:snapToGrid w:val="0"/>
        <w:spacing w:line="300" w:lineRule="auto"/>
      </w:pPr>
    </w:p>
    <w:p w14:paraId="28E71871" w14:textId="77777777" w:rsidR="00244D89" w:rsidRDefault="00244D89" w:rsidP="008C2522">
      <w:pPr>
        <w:snapToGrid w:val="0"/>
        <w:spacing w:line="300" w:lineRule="auto"/>
      </w:pPr>
    </w:p>
    <w:p w14:paraId="44A17B0C" w14:textId="77777777" w:rsidR="00244D89" w:rsidRDefault="00244D89" w:rsidP="008C2522">
      <w:pPr>
        <w:snapToGrid w:val="0"/>
        <w:spacing w:line="300" w:lineRule="auto"/>
      </w:pPr>
    </w:p>
    <w:p w14:paraId="01FA4697" w14:textId="77777777" w:rsidR="00244D89" w:rsidRDefault="00244D89" w:rsidP="008C2522">
      <w:pPr>
        <w:snapToGrid w:val="0"/>
        <w:spacing w:line="300" w:lineRule="auto"/>
      </w:pPr>
    </w:p>
    <w:p w14:paraId="7972D06A" w14:textId="77777777" w:rsidR="00244D89" w:rsidRPr="005661DE" w:rsidRDefault="00244D89" w:rsidP="008C2522">
      <w:pPr>
        <w:snapToGrid w:val="0"/>
        <w:spacing w:line="300" w:lineRule="auto"/>
      </w:pPr>
    </w:p>
    <w:p w14:paraId="458E3273" w14:textId="77777777" w:rsidR="009E688C" w:rsidRPr="005661DE" w:rsidRDefault="009E688C" w:rsidP="008C2522">
      <w:pPr>
        <w:pStyle w:val="1"/>
        <w:snapToGrid w:val="0"/>
      </w:pPr>
      <w:bookmarkStart w:id="64" w:name="_Toc36842066"/>
      <w:bookmarkStart w:id="65" w:name="_Toc36844738"/>
      <w:r w:rsidRPr="005661DE">
        <w:rPr>
          <w:rFonts w:hint="eastAsia"/>
        </w:rPr>
        <w:lastRenderedPageBreak/>
        <w:t>结</w:t>
      </w:r>
      <w:r w:rsidR="00315097" w:rsidRPr="005661DE">
        <w:rPr>
          <w:rFonts w:hint="eastAsia"/>
        </w:rPr>
        <w:t xml:space="preserve">  </w:t>
      </w:r>
      <w:r w:rsidRPr="005661DE">
        <w:rPr>
          <w:rFonts w:hint="eastAsia"/>
        </w:rPr>
        <w:t>语</w:t>
      </w:r>
      <w:bookmarkEnd w:id="64"/>
      <w:bookmarkEnd w:id="65"/>
    </w:p>
    <w:p w14:paraId="7B32401A" w14:textId="77777777" w:rsidR="009E688C" w:rsidRPr="005661DE" w:rsidRDefault="009E688C" w:rsidP="008C2522">
      <w:pPr>
        <w:snapToGrid w:val="0"/>
        <w:spacing w:line="300" w:lineRule="auto"/>
      </w:pPr>
    </w:p>
    <w:p w14:paraId="51D21131" w14:textId="77777777" w:rsidR="009E688C" w:rsidRDefault="009E688C" w:rsidP="004A1875">
      <w:pPr>
        <w:snapToGrid w:val="0"/>
        <w:spacing w:line="300" w:lineRule="auto"/>
      </w:pPr>
      <w:r w:rsidRPr="005661DE">
        <w:rPr>
          <w:rFonts w:hint="eastAsia"/>
        </w:rPr>
        <w:t>修改后的《刑事诉讼法》所确立的认罪认罚从宽制度赋予了检察机关量刑建议权以新的含义和功能。检察机关能否根据案件事实和统一的量刑标准，提出准确公正的量刑建议是这一制度运行的关键。同时，量刑建议作为控辩双方经过协商一致达成的结果，能否在法庭审理中被法官采纳，也直接关系到被告人对“从宽”的合理预期利益。然而，司法实践和立法中关于量刑建议暴露出的问题值得我们重视，如量刑建议模式不合理、没有统一的量刑标准、缺少量刑协商程序、忽视对量刑建议的监督等问题不及时解决，将直接影响认罪认罚案件的办理。如何借鉴域外和我国认罪认罚从宽制度的实践经验，通过确定量刑建议的模式、统一量刑标准和量刑协商的程序，以推进量刑精准化，同时充分发挥辩护律师的作用、强调对量刑建议的监督，以实现量刑建议的公正、透明，确保认罪认罚案件能够真正实现繁简分离，提高诉讼效率，都是我们刑事诉讼中所面临的重大课题。当下，正值认罪认罚从宽制度全面推进，检察机关量刑建议权将继续面对来自多方面的挑战，这需要我们持续的关注、研究并及时提出新的解决方案。</w:t>
      </w:r>
    </w:p>
    <w:p w14:paraId="02EA6670" w14:textId="77777777" w:rsidR="004A1875" w:rsidRDefault="004A1875" w:rsidP="004A1875">
      <w:pPr>
        <w:snapToGrid w:val="0"/>
        <w:spacing w:line="300" w:lineRule="auto"/>
        <w:sectPr w:rsidR="004A1875" w:rsidSect="0079454E">
          <w:footerReference w:type="default" r:id="rId13"/>
          <w:pgSz w:w="11900" w:h="16840"/>
          <w:pgMar w:top="1440" w:right="1800" w:bottom="1440" w:left="1800" w:header="851" w:footer="992" w:gutter="0"/>
          <w:pgNumType w:start="1"/>
          <w:cols w:space="425"/>
          <w:docGrid w:type="lines" w:linePitch="423"/>
        </w:sectPr>
      </w:pPr>
    </w:p>
    <w:p w14:paraId="75687DCC" w14:textId="77777777" w:rsidR="00576C7D" w:rsidRPr="00FF1098" w:rsidRDefault="009E688C" w:rsidP="00FF1098">
      <w:pPr>
        <w:pStyle w:val="afc"/>
        <w:spacing w:line="300" w:lineRule="auto"/>
        <w:rPr>
          <w:sz w:val="28"/>
          <w:szCs w:val="28"/>
        </w:rPr>
      </w:pPr>
      <w:bookmarkStart w:id="66" w:name="_Toc36842067"/>
      <w:bookmarkStart w:id="67" w:name="_Toc36844739"/>
      <w:r w:rsidRPr="00FF1098">
        <w:rPr>
          <w:rFonts w:hint="eastAsia"/>
          <w:sz w:val="28"/>
          <w:szCs w:val="28"/>
        </w:rPr>
        <w:lastRenderedPageBreak/>
        <w:t>参考文献</w:t>
      </w:r>
      <w:bookmarkEnd w:id="66"/>
      <w:bookmarkEnd w:id="67"/>
    </w:p>
    <w:p w14:paraId="44AEF445" w14:textId="77777777" w:rsidR="009E688C" w:rsidRPr="005661DE" w:rsidRDefault="009E688C" w:rsidP="00B717BB">
      <w:pPr>
        <w:snapToGrid w:val="0"/>
        <w:spacing w:line="300" w:lineRule="auto"/>
        <w:rPr>
          <w:b/>
          <w:bCs/>
          <w:sz w:val="28"/>
          <w:szCs w:val="28"/>
        </w:rPr>
      </w:pPr>
      <w:r w:rsidRPr="005661DE">
        <w:rPr>
          <w:rFonts w:hint="eastAsia"/>
          <w:b/>
          <w:bCs/>
          <w:sz w:val="28"/>
          <w:szCs w:val="28"/>
        </w:rPr>
        <w:t>一、专著类</w:t>
      </w:r>
    </w:p>
    <w:p w14:paraId="06DDE0E6" w14:textId="77777777" w:rsidR="009E688C" w:rsidRPr="005661DE" w:rsidRDefault="009E688C" w:rsidP="00B717BB">
      <w:pPr>
        <w:snapToGrid w:val="0"/>
        <w:spacing w:line="300" w:lineRule="auto"/>
      </w:pPr>
      <w:r w:rsidRPr="005661DE">
        <w:t>[1]</w:t>
      </w:r>
      <w:r w:rsidR="00446693" w:rsidRPr="005661DE">
        <w:rPr>
          <w:rFonts w:hint="eastAsia"/>
        </w:rPr>
        <w:t xml:space="preserve"> </w:t>
      </w:r>
      <w:r w:rsidRPr="005661DE">
        <w:t>[</w:t>
      </w:r>
      <w:r w:rsidRPr="005661DE">
        <w:rPr>
          <w:rFonts w:hint="eastAsia"/>
        </w:rPr>
        <w:t>美</w:t>
      </w:r>
      <w:r w:rsidRPr="005661DE">
        <w:t>]</w:t>
      </w:r>
      <w:r w:rsidRPr="005661DE">
        <w:rPr>
          <w:rFonts w:hint="eastAsia"/>
        </w:rPr>
        <w:t>爱伦</w:t>
      </w:r>
      <w:r w:rsidRPr="005661DE">
        <w:t>·</w:t>
      </w:r>
      <w:r w:rsidRPr="005661DE">
        <w:rPr>
          <w:rFonts w:hint="eastAsia"/>
        </w:rPr>
        <w:t>豪切斯泰勒</w:t>
      </w:r>
      <w:r w:rsidRPr="005661DE">
        <w:t>·</w:t>
      </w:r>
      <w:r w:rsidRPr="005661DE">
        <w:rPr>
          <w:rFonts w:hint="eastAsia"/>
        </w:rPr>
        <w:t>斯黛丽、南希</w:t>
      </w:r>
      <w:r w:rsidRPr="005661DE">
        <w:t>·</w:t>
      </w:r>
      <w:r w:rsidRPr="005661DE">
        <w:rPr>
          <w:rFonts w:hint="eastAsia"/>
        </w:rPr>
        <w:t>弗兰克：《美国刑事法院诉讼程序》，陈卫东、徐美君译，中国人民大学出版社</w:t>
      </w:r>
      <w:r w:rsidRPr="005661DE">
        <w:t>2002</w:t>
      </w:r>
      <w:r w:rsidRPr="005661DE">
        <w:rPr>
          <w:rFonts w:hint="eastAsia"/>
        </w:rPr>
        <w:t>年版。</w:t>
      </w:r>
    </w:p>
    <w:p w14:paraId="09098544" w14:textId="77777777" w:rsidR="009E688C" w:rsidRPr="005661DE" w:rsidRDefault="009E688C" w:rsidP="00B717BB">
      <w:pPr>
        <w:snapToGrid w:val="0"/>
        <w:spacing w:line="300" w:lineRule="auto"/>
      </w:pPr>
      <w:r w:rsidRPr="005661DE">
        <w:t>[2]</w:t>
      </w:r>
      <w:r w:rsidR="00446693" w:rsidRPr="005661DE">
        <w:rPr>
          <w:rFonts w:hint="eastAsia"/>
        </w:rPr>
        <w:t xml:space="preserve"> </w:t>
      </w:r>
      <w:r w:rsidRPr="005661DE">
        <w:rPr>
          <w:rFonts w:hint="eastAsia"/>
        </w:rPr>
        <w:t>种松志、樊崇义等：《公诉制度改革研究》，载张智辉主编：《中国检察</w:t>
      </w:r>
      <w:r w:rsidRPr="005661DE">
        <w:t>——</w:t>
      </w:r>
      <w:r w:rsidRPr="005661DE">
        <w:rPr>
          <w:rFonts w:hint="eastAsia"/>
        </w:rPr>
        <w:t>检察理念与法律监督》，北京大学出版社</w:t>
      </w:r>
      <w:r w:rsidRPr="005661DE">
        <w:t>2004</w:t>
      </w:r>
      <w:r w:rsidRPr="005661DE">
        <w:rPr>
          <w:rFonts w:hint="eastAsia"/>
        </w:rPr>
        <w:t>年版。</w:t>
      </w:r>
    </w:p>
    <w:p w14:paraId="4D4A2D89" w14:textId="77777777" w:rsidR="009E688C" w:rsidRPr="005661DE" w:rsidRDefault="009E688C" w:rsidP="00B717BB">
      <w:pPr>
        <w:snapToGrid w:val="0"/>
        <w:spacing w:line="300" w:lineRule="auto"/>
      </w:pPr>
      <w:r w:rsidRPr="005661DE">
        <w:t>[3]</w:t>
      </w:r>
      <w:r w:rsidR="001B6E55" w:rsidRPr="005661DE">
        <w:rPr>
          <w:rFonts w:hint="eastAsia"/>
        </w:rPr>
        <w:t xml:space="preserve"> </w:t>
      </w:r>
      <w:r w:rsidRPr="005661DE">
        <w:t>[</w:t>
      </w:r>
      <w:r w:rsidRPr="005661DE">
        <w:rPr>
          <w:rFonts w:hint="eastAsia"/>
        </w:rPr>
        <w:t>英</w:t>
      </w:r>
      <w:r w:rsidRPr="005661DE">
        <w:t>]</w:t>
      </w:r>
      <w:r w:rsidRPr="005661DE">
        <w:rPr>
          <w:rFonts w:hint="eastAsia"/>
        </w:rPr>
        <w:t>约翰</w:t>
      </w:r>
      <w:r w:rsidRPr="005661DE">
        <w:t>·</w:t>
      </w:r>
      <w:r w:rsidRPr="005661DE">
        <w:rPr>
          <w:rFonts w:hint="eastAsia"/>
        </w:rPr>
        <w:t>斯普莱克：《英国刑事诉讼程序》，徐美君、杨立涛译，中国人民大学出版社</w:t>
      </w:r>
      <w:r w:rsidRPr="005661DE">
        <w:t>2006</w:t>
      </w:r>
      <w:r w:rsidRPr="005661DE">
        <w:rPr>
          <w:rFonts w:hint="eastAsia"/>
        </w:rPr>
        <w:t>年版。</w:t>
      </w:r>
    </w:p>
    <w:p w14:paraId="31C1C493" w14:textId="77777777" w:rsidR="009E688C" w:rsidRPr="005661DE" w:rsidRDefault="009E688C" w:rsidP="00B717BB">
      <w:pPr>
        <w:snapToGrid w:val="0"/>
        <w:spacing w:line="300" w:lineRule="auto"/>
      </w:pPr>
      <w:r w:rsidRPr="005661DE">
        <w:t>[4]</w:t>
      </w:r>
      <w:r w:rsidR="001B6E55" w:rsidRPr="005661DE">
        <w:rPr>
          <w:rFonts w:hint="eastAsia"/>
        </w:rPr>
        <w:t xml:space="preserve"> </w:t>
      </w:r>
      <w:r w:rsidRPr="005661DE">
        <w:rPr>
          <w:rFonts w:hint="eastAsia"/>
        </w:rPr>
        <w:t>孙谦主编：《检察理论研究综述》，中国检察出版社</w:t>
      </w:r>
      <w:r w:rsidRPr="005661DE">
        <w:t>2009</w:t>
      </w:r>
      <w:r w:rsidRPr="005661DE">
        <w:rPr>
          <w:rFonts w:hint="eastAsia"/>
        </w:rPr>
        <w:t>年版。</w:t>
      </w:r>
    </w:p>
    <w:p w14:paraId="719F1324" w14:textId="77777777" w:rsidR="009E688C" w:rsidRPr="005661DE" w:rsidRDefault="009E688C" w:rsidP="00B717BB">
      <w:pPr>
        <w:snapToGrid w:val="0"/>
        <w:spacing w:line="300" w:lineRule="auto"/>
      </w:pPr>
      <w:r w:rsidRPr="005661DE">
        <w:t xml:space="preserve">[5] </w:t>
      </w:r>
      <w:r w:rsidRPr="005661DE">
        <w:rPr>
          <w:rFonts w:hint="eastAsia"/>
        </w:rPr>
        <w:t>孙春雨：《中美定罪量刑机制比较研究》，中国人民公安大学出版社</w:t>
      </w:r>
      <w:r w:rsidRPr="005661DE">
        <w:t>2007</w:t>
      </w:r>
      <w:r w:rsidRPr="005661DE">
        <w:rPr>
          <w:rFonts w:hint="eastAsia"/>
        </w:rPr>
        <w:t>年版。</w:t>
      </w:r>
    </w:p>
    <w:p w14:paraId="7EAE40D0" w14:textId="77777777" w:rsidR="009E688C" w:rsidRPr="005661DE" w:rsidRDefault="009E688C" w:rsidP="00B717BB">
      <w:pPr>
        <w:snapToGrid w:val="0"/>
        <w:spacing w:line="300" w:lineRule="auto"/>
      </w:pPr>
      <w:r w:rsidRPr="005661DE">
        <w:t>[6]</w:t>
      </w:r>
      <w:r w:rsidR="001B6E55" w:rsidRPr="005661DE">
        <w:rPr>
          <w:rFonts w:hint="eastAsia"/>
        </w:rPr>
        <w:t xml:space="preserve"> </w:t>
      </w:r>
      <w:r w:rsidRPr="005661DE">
        <w:rPr>
          <w:rFonts w:hint="eastAsia"/>
        </w:rPr>
        <w:t>张国轩：《检察机关量刑建议问题研究》，中国人民公安大学出版社</w:t>
      </w:r>
      <w:r w:rsidRPr="005661DE">
        <w:t>2010</w:t>
      </w:r>
      <w:r w:rsidRPr="005661DE">
        <w:rPr>
          <w:rFonts w:hint="eastAsia"/>
        </w:rPr>
        <w:t>年版。</w:t>
      </w:r>
    </w:p>
    <w:p w14:paraId="7DF96BC3" w14:textId="77777777" w:rsidR="009E688C" w:rsidRPr="005661DE" w:rsidRDefault="009E688C" w:rsidP="00B717BB">
      <w:pPr>
        <w:snapToGrid w:val="0"/>
        <w:spacing w:line="300" w:lineRule="auto"/>
      </w:pPr>
      <w:r w:rsidRPr="005661DE">
        <w:t xml:space="preserve">[7] </w:t>
      </w:r>
      <w:r w:rsidRPr="005661DE">
        <w:rPr>
          <w:rFonts w:hint="eastAsia"/>
        </w:rPr>
        <w:t>皮勇、王刚、刘胜超：《量刑原论》，武汉大学出版社</w:t>
      </w:r>
      <w:r w:rsidRPr="005661DE">
        <w:t>2014</w:t>
      </w:r>
      <w:r w:rsidRPr="005661DE">
        <w:rPr>
          <w:rFonts w:hint="eastAsia"/>
        </w:rPr>
        <w:t>年版。</w:t>
      </w:r>
    </w:p>
    <w:p w14:paraId="64A80FF3" w14:textId="77777777" w:rsidR="009E688C" w:rsidRPr="005661DE" w:rsidRDefault="009E688C" w:rsidP="00B717BB">
      <w:pPr>
        <w:snapToGrid w:val="0"/>
        <w:spacing w:line="300" w:lineRule="auto"/>
      </w:pPr>
      <w:r w:rsidRPr="005661DE">
        <w:t xml:space="preserve">[8] </w:t>
      </w:r>
      <w:r w:rsidRPr="005661DE">
        <w:rPr>
          <w:rFonts w:hint="eastAsia"/>
        </w:rPr>
        <w:t>雷连莉：《被害人量刑参与问题研究》，中国政法大学出版社</w:t>
      </w:r>
      <w:r w:rsidRPr="005661DE">
        <w:t>2014</w:t>
      </w:r>
      <w:r w:rsidRPr="005661DE">
        <w:rPr>
          <w:rFonts w:hint="eastAsia"/>
        </w:rPr>
        <w:t>年版。</w:t>
      </w:r>
    </w:p>
    <w:p w14:paraId="1E78BDB6" w14:textId="77777777" w:rsidR="009E688C" w:rsidRPr="005661DE" w:rsidRDefault="009E688C" w:rsidP="00B717BB">
      <w:pPr>
        <w:snapToGrid w:val="0"/>
        <w:spacing w:line="300" w:lineRule="auto"/>
      </w:pPr>
      <w:r w:rsidRPr="005661DE">
        <w:t xml:space="preserve">[9] </w:t>
      </w:r>
      <w:r w:rsidRPr="005661DE">
        <w:rPr>
          <w:rFonts w:hint="eastAsia"/>
        </w:rPr>
        <w:t>丁铁梅：《量刑监督的途径与制度构建》，中国检察出版社</w:t>
      </w:r>
      <w:r w:rsidRPr="005661DE">
        <w:t>2015</w:t>
      </w:r>
      <w:r w:rsidRPr="005661DE">
        <w:rPr>
          <w:rFonts w:hint="eastAsia"/>
        </w:rPr>
        <w:t>年版。</w:t>
      </w:r>
    </w:p>
    <w:p w14:paraId="1912C031" w14:textId="77777777" w:rsidR="009E688C" w:rsidRPr="005661DE" w:rsidRDefault="009E688C" w:rsidP="00B717BB">
      <w:pPr>
        <w:snapToGrid w:val="0"/>
        <w:spacing w:line="300" w:lineRule="auto"/>
      </w:pPr>
      <w:r w:rsidRPr="005661DE">
        <w:t xml:space="preserve">[10] </w:t>
      </w:r>
      <w:r w:rsidRPr="005661DE">
        <w:rPr>
          <w:rFonts w:hint="eastAsia"/>
        </w:rPr>
        <w:t>陈瑞华：《刑事诉讼的前沿问题》，中国人民大学出版社</w:t>
      </w:r>
      <w:r w:rsidRPr="005661DE">
        <w:t>2016</w:t>
      </w:r>
      <w:r w:rsidRPr="005661DE">
        <w:rPr>
          <w:rFonts w:hint="eastAsia"/>
        </w:rPr>
        <w:t>年版。</w:t>
      </w:r>
    </w:p>
    <w:p w14:paraId="7F63DFCE" w14:textId="77777777" w:rsidR="009E688C" w:rsidRPr="005661DE" w:rsidRDefault="009E688C" w:rsidP="00B717BB">
      <w:pPr>
        <w:snapToGrid w:val="0"/>
        <w:spacing w:line="300" w:lineRule="auto"/>
        <w:rPr>
          <w:b/>
          <w:bCs/>
          <w:sz w:val="28"/>
          <w:szCs w:val="28"/>
        </w:rPr>
      </w:pPr>
      <w:r w:rsidRPr="005661DE">
        <w:rPr>
          <w:rFonts w:hint="eastAsia"/>
          <w:b/>
          <w:bCs/>
          <w:sz w:val="28"/>
          <w:szCs w:val="28"/>
        </w:rPr>
        <w:t>二、期刊论文类</w:t>
      </w:r>
    </w:p>
    <w:p w14:paraId="358DD108" w14:textId="77777777" w:rsidR="009E688C" w:rsidRPr="005661DE" w:rsidRDefault="009E688C" w:rsidP="00B717BB">
      <w:pPr>
        <w:snapToGrid w:val="0"/>
        <w:spacing w:line="300" w:lineRule="auto"/>
      </w:pPr>
      <w:r w:rsidRPr="005661DE">
        <w:t xml:space="preserve">[1] </w:t>
      </w:r>
      <w:r w:rsidRPr="005661DE">
        <w:rPr>
          <w:rFonts w:hint="eastAsia"/>
        </w:rPr>
        <w:t>程岚：《西方国家的量刑建议制度及其比较》，《法学评论》</w:t>
      </w:r>
      <w:r w:rsidRPr="005661DE">
        <w:t>2008</w:t>
      </w:r>
      <w:r w:rsidRPr="005661DE">
        <w:rPr>
          <w:rFonts w:hint="eastAsia"/>
        </w:rPr>
        <w:t>年第</w:t>
      </w:r>
      <w:r w:rsidRPr="005661DE">
        <w:t>1</w:t>
      </w:r>
      <w:r w:rsidRPr="005661DE">
        <w:rPr>
          <w:rFonts w:hint="eastAsia"/>
        </w:rPr>
        <w:t>期。</w:t>
      </w:r>
    </w:p>
    <w:p w14:paraId="1C98E8AA" w14:textId="77777777" w:rsidR="009E688C" w:rsidRPr="005661DE" w:rsidRDefault="009E688C" w:rsidP="00B717BB">
      <w:pPr>
        <w:snapToGrid w:val="0"/>
        <w:spacing w:line="300" w:lineRule="auto"/>
      </w:pPr>
      <w:r w:rsidRPr="005661DE">
        <w:t>[2]</w:t>
      </w:r>
      <w:r w:rsidR="001B6E55" w:rsidRPr="005661DE">
        <w:rPr>
          <w:rFonts w:hint="eastAsia"/>
        </w:rPr>
        <w:t xml:space="preserve"> </w:t>
      </w:r>
      <w:r w:rsidRPr="005661DE">
        <w:rPr>
          <w:rFonts w:hint="eastAsia"/>
        </w:rPr>
        <w:t>陈瑞华：《论量刑程序的独立性</w:t>
      </w:r>
      <w:r w:rsidRPr="005661DE">
        <w:t>——</w:t>
      </w:r>
      <w:r w:rsidRPr="005661DE">
        <w:rPr>
          <w:rFonts w:hint="eastAsia"/>
        </w:rPr>
        <w:t>一种以量刑控制为中心的程序理论》，《中国法学》</w:t>
      </w:r>
      <w:r w:rsidRPr="005661DE">
        <w:t>2009</w:t>
      </w:r>
      <w:r w:rsidRPr="005661DE">
        <w:rPr>
          <w:rFonts w:hint="eastAsia"/>
        </w:rPr>
        <w:t>年第</w:t>
      </w:r>
      <w:r w:rsidRPr="005661DE">
        <w:t>1</w:t>
      </w:r>
      <w:r w:rsidRPr="005661DE">
        <w:rPr>
          <w:rFonts w:hint="eastAsia"/>
        </w:rPr>
        <w:t>期。</w:t>
      </w:r>
    </w:p>
    <w:p w14:paraId="3122838C" w14:textId="77777777" w:rsidR="009E688C" w:rsidRPr="005661DE" w:rsidRDefault="009E688C" w:rsidP="00B717BB">
      <w:pPr>
        <w:snapToGrid w:val="0"/>
        <w:spacing w:line="300" w:lineRule="auto"/>
      </w:pPr>
      <w:r w:rsidRPr="005661DE">
        <w:t>[3]</w:t>
      </w:r>
      <w:r w:rsidR="001B6E55" w:rsidRPr="005661DE">
        <w:rPr>
          <w:rFonts w:hint="eastAsia"/>
        </w:rPr>
        <w:t xml:space="preserve"> </w:t>
      </w:r>
      <w:r w:rsidRPr="005661DE">
        <w:rPr>
          <w:rFonts w:hint="eastAsia"/>
        </w:rPr>
        <w:t>潘金贵：《论量刑建议制度》，《南京大学法律评论》</w:t>
      </w:r>
      <w:r w:rsidRPr="005661DE">
        <w:t>2009</w:t>
      </w:r>
      <w:r w:rsidRPr="005661DE">
        <w:rPr>
          <w:rFonts w:hint="eastAsia"/>
        </w:rPr>
        <w:t>年第</w:t>
      </w:r>
      <w:r w:rsidRPr="005661DE">
        <w:t>2</w:t>
      </w:r>
      <w:r w:rsidRPr="005661DE">
        <w:rPr>
          <w:rFonts w:hint="eastAsia"/>
        </w:rPr>
        <w:t>期。</w:t>
      </w:r>
    </w:p>
    <w:p w14:paraId="141D57C5" w14:textId="77777777" w:rsidR="009E688C" w:rsidRPr="005661DE" w:rsidRDefault="009E688C" w:rsidP="00B717BB">
      <w:pPr>
        <w:snapToGrid w:val="0"/>
        <w:spacing w:line="300" w:lineRule="auto"/>
      </w:pPr>
      <w:r w:rsidRPr="005661DE">
        <w:t>[4]</w:t>
      </w:r>
      <w:r w:rsidR="001B6E55" w:rsidRPr="005661DE">
        <w:rPr>
          <w:rFonts w:hint="eastAsia"/>
        </w:rPr>
        <w:t xml:space="preserve"> </w:t>
      </w:r>
      <w:r w:rsidRPr="005661DE">
        <w:rPr>
          <w:rFonts w:hint="eastAsia"/>
        </w:rPr>
        <w:t>王志刚：《为量刑建议权的辩解》，《中国刑事法杂志》</w:t>
      </w:r>
      <w:r w:rsidRPr="005661DE">
        <w:t>2009</w:t>
      </w:r>
      <w:r w:rsidRPr="005661DE">
        <w:rPr>
          <w:rFonts w:hint="eastAsia"/>
        </w:rPr>
        <w:t>年第</w:t>
      </w:r>
      <w:r w:rsidRPr="005661DE">
        <w:t>5</w:t>
      </w:r>
      <w:r w:rsidRPr="005661DE">
        <w:rPr>
          <w:rFonts w:hint="eastAsia"/>
        </w:rPr>
        <w:t>期。</w:t>
      </w:r>
    </w:p>
    <w:p w14:paraId="44BCE61A" w14:textId="77777777" w:rsidR="009E688C" w:rsidRPr="005661DE" w:rsidRDefault="009E688C" w:rsidP="00B717BB">
      <w:pPr>
        <w:snapToGrid w:val="0"/>
        <w:spacing w:line="300" w:lineRule="auto"/>
      </w:pPr>
      <w:r w:rsidRPr="005661DE">
        <w:t>[5]</w:t>
      </w:r>
      <w:r w:rsidR="001B6E55" w:rsidRPr="005661DE">
        <w:rPr>
          <w:rFonts w:hint="eastAsia"/>
        </w:rPr>
        <w:t xml:space="preserve"> </w:t>
      </w:r>
      <w:r w:rsidRPr="005661DE">
        <w:rPr>
          <w:rFonts w:hint="eastAsia"/>
        </w:rPr>
        <w:t>北京市人民检察院第一分院课题组：《量刑监督存在的问题及完善》，《中国刑事法杂志》</w:t>
      </w:r>
      <w:r w:rsidRPr="005661DE">
        <w:t>2011</w:t>
      </w:r>
      <w:r w:rsidRPr="005661DE">
        <w:rPr>
          <w:rFonts w:hint="eastAsia"/>
        </w:rPr>
        <w:t>年第</w:t>
      </w:r>
      <w:r w:rsidRPr="005661DE">
        <w:t>3</w:t>
      </w:r>
      <w:r w:rsidRPr="005661DE">
        <w:rPr>
          <w:rFonts w:hint="eastAsia"/>
        </w:rPr>
        <w:t>期。</w:t>
      </w:r>
    </w:p>
    <w:p w14:paraId="1DD43C81" w14:textId="77777777" w:rsidR="009E688C" w:rsidRPr="005661DE" w:rsidRDefault="009E688C" w:rsidP="00B717BB">
      <w:pPr>
        <w:snapToGrid w:val="0"/>
        <w:spacing w:line="300" w:lineRule="auto"/>
      </w:pPr>
      <w:r w:rsidRPr="005661DE">
        <w:t>[6]</w:t>
      </w:r>
      <w:r w:rsidR="001B6E55" w:rsidRPr="005661DE">
        <w:rPr>
          <w:rFonts w:hint="eastAsia"/>
        </w:rPr>
        <w:t xml:space="preserve"> </w:t>
      </w:r>
      <w:r w:rsidRPr="005661DE">
        <w:rPr>
          <w:rFonts w:hint="eastAsia"/>
        </w:rPr>
        <w:t>苏镜祥：《量刑建议实证分析</w:t>
      </w:r>
      <w:r w:rsidRPr="005661DE">
        <w:t>——</w:t>
      </w:r>
      <w:r w:rsidRPr="005661DE">
        <w:rPr>
          <w:rFonts w:hint="eastAsia"/>
        </w:rPr>
        <w:t>以检察机关量刑建议的采纳率为对象》，《政治与法律》</w:t>
      </w:r>
      <w:r w:rsidRPr="005661DE">
        <w:t>2013</w:t>
      </w:r>
      <w:r w:rsidRPr="005661DE">
        <w:rPr>
          <w:rFonts w:hint="eastAsia"/>
        </w:rPr>
        <w:t>年第</w:t>
      </w:r>
      <w:r w:rsidRPr="005661DE">
        <w:t>2</w:t>
      </w:r>
      <w:r w:rsidRPr="005661DE">
        <w:rPr>
          <w:rFonts w:hint="eastAsia"/>
        </w:rPr>
        <w:t>期。</w:t>
      </w:r>
    </w:p>
    <w:p w14:paraId="7221D828" w14:textId="77777777" w:rsidR="009E688C" w:rsidRPr="005661DE" w:rsidRDefault="009E688C" w:rsidP="00B717BB">
      <w:pPr>
        <w:snapToGrid w:val="0"/>
        <w:spacing w:line="300" w:lineRule="auto"/>
      </w:pPr>
      <w:r w:rsidRPr="005661DE">
        <w:t>[7]</w:t>
      </w:r>
      <w:r w:rsidR="001B6E55" w:rsidRPr="005661DE">
        <w:rPr>
          <w:rFonts w:hint="eastAsia"/>
        </w:rPr>
        <w:t xml:space="preserve"> </w:t>
      </w:r>
      <w:r w:rsidRPr="005661DE">
        <w:rPr>
          <w:rFonts w:hint="eastAsia"/>
        </w:rPr>
        <w:t>陈卫东：《认罪认罚从宽制度研究》，《中国法学》</w:t>
      </w:r>
      <w:r w:rsidRPr="005661DE">
        <w:t>2016</w:t>
      </w:r>
      <w:r w:rsidRPr="005661DE">
        <w:rPr>
          <w:rFonts w:hint="eastAsia"/>
        </w:rPr>
        <w:t>年第</w:t>
      </w:r>
      <w:r w:rsidRPr="005661DE">
        <w:t>2</w:t>
      </w:r>
      <w:r w:rsidRPr="005661DE">
        <w:rPr>
          <w:rFonts w:hint="eastAsia"/>
        </w:rPr>
        <w:t>期。</w:t>
      </w:r>
      <w:r w:rsidRPr="005661DE">
        <w:tab/>
      </w:r>
    </w:p>
    <w:p w14:paraId="176E78AF" w14:textId="77777777" w:rsidR="009E688C" w:rsidRPr="005661DE" w:rsidRDefault="009E688C" w:rsidP="00B717BB">
      <w:pPr>
        <w:snapToGrid w:val="0"/>
        <w:spacing w:line="300" w:lineRule="auto"/>
      </w:pPr>
      <w:r w:rsidRPr="005661DE">
        <w:t>[8]</w:t>
      </w:r>
      <w:r w:rsidR="001B6E55" w:rsidRPr="005661DE">
        <w:rPr>
          <w:rFonts w:hint="eastAsia"/>
        </w:rPr>
        <w:t xml:space="preserve"> </w:t>
      </w:r>
      <w:r w:rsidRPr="005661DE">
        <w:rPr>
          <w:rFonts w:hint="eastAsia"/>
        </w:rPr>
        <w:t>刘广三、李艳霞</w:t>
      </w:r>
      <w:r w:rsidRPr="005661DE">
        <w:t>:</w:t>
      </w:r>
      <w:r w:rsidRPr="005661DE">
        <w:rPr>
          <w:rFonts w:hint="eastAsia"/>
        </w:rPr>
        <w:t>《我国刑事速裁程序试点的反思与重构》，《法学》</w:t>
      </w:r>
      <w:r w:rsidRPr="005661DE">
        <w:t>2016</w:t>
      </w:r>
      <w:r w:rsidRPr="005661DE">
        <w:rPr>
          <w:rFonts w:hint="eastAsia"/>
        </w:rPr>
        <w:t>年第</w:t>
      </w:r>
      <w:r w:rsidRPr="005661DE">
        <w:t>2</w:t>
      </w:r>
      <w:r w:rsidRPr="005661DE">
        <w:rPr>
          <w:rFonts w:hint="eastAsia"/>
        </w:rPr>
        <w:t>期。</w:t>
      </w:r>
    </w:p>
    <w:p w14:paraId="041898AF" w14:textId="77777777" w:rsidR="009E688C" w:rsidRPr="005661DE" w:rsidRDefault="009E688C" w:rsidP="00B717BB">
      <w:pPr>
        <w:snapToGrid w:val="0"/>
        <w:spacing w:line="300" w:lineRule="auto"/>
      </w:pPr>
      <w:r w:rsidRPr="005661DE">
        <w:t>[9]</w:t>
      </w:r>
      <w:r w:rsidR="001B6E55" w:rsidRPr="005661DE">
        <w:rPr>
          <w:rFonts w:hint="eastAsia"/>
        </w:rPr>
        <w:t xml:space="preserve"> </w:t>
      </w:r>
      <w:r w:rsidRPr="005661DE">
        <w:rPr>
          <w:rFonts w:hint="eastAsia"/>
        </w:rPr>
        <w:t>魏晓娜：《完善认罪认罚从宽制度</w:t>
      </w:r>
      <w:r w:rsidRPr="005661DE">
        <w:t>——</w:t>
      </w:r>
      <w:r w:rsidRPr="005661DE">
        <w:rPr>
          <w:rFonts w:hint="eastAsia"/>
        </w:rPr>
        <w:t>中国语境下的关键词展开》，《法学研究》</w:t>
      </w:r>
      <w:r w:rsidRPr="005661DE">
        <w:t>2016</w:t>
      </w:r>
      <w:r w:rsidRPr="005661DE">
        <w:rPr>
          <w:rFonts w:hint="eastAsia"/>
        </w:rPr>
        <w:t>年第</w:t>
      </w:r>
      <w:r w:rsidRPr="005661DE">
        <w:t>4</w:t>
      </w:r>
      <w:r w:rsidRPr="005661DE">
        <w:rPr>
          <w:rFonts w:hint="eastAsia"/>
        </w:rPr>
        <w:t>期。</w:t>
      </w:r>
    </w:p>
    <w:p w14:paraId="3EA63383" w14:textId="77777777" w:rsidR="009E688C" w:rsidRPr="005661DE" w:rsidRDefault="009E688C" w:rsidP="00B717BB">
      <w:pPr>
        <w:snapToGrid w:val="0"/>
        <w:spacing w:line="300" w:lineRule="auto"/>
      </w:pPr>
      <w:r w:rsidRPr="005661DE">
        <w:t>[10]</w:t>
      </w:r>
      <w:r w:rsidR="001B6E55" w:rsidRPr="005661DE">
        <w:rPr>
          <w:rFonts w:hint="eastAsia"/>
        </w:rPr>
        <w:t xml:space="preserve"> </w:t>
      </w:r>
      <w:r w:rsidRPr="005661DE">
        <w:rPr>
          <w:rFonts w:hint="eastAsia"/>
        </w:rPr>
        <w:t>朱孝清：《认罪认罚从宽制度的几个问题》，《法治研究》</w:t>
      </w:r>
      <w:r w:rsidRPr="005661DE">
        <w:t>2016</w:t>
      </w:r>
      <w:r w:rsidRPr="005661DE">
        <w:rPr>
          <w:rFonts w:hint="eastAsia"/>
        </w:rPr>
        <w:t>年第</w:t>
      </w:r>
      <w:r w:rsidRPr="005661DE">
        <w:t>5</w:t>
      </w:r>
      <w:r w:rsidRPr="005661DE">
        <w:rPr>
          <w:rFonts w:hint="eastAsia"/>
        </w:rPr>
        <w:t>期。</w:t>
      </w:r>
    </w:p>
    <w:p w14:paraId="0912FC70" w14:textId="77777777" w:rsidR="009E688C" w:rsidRPr="005661DE" w:rsidRDefault="009E688C" w:rsidP="00B717BB">
      <w:pPr>
        <w:snapToGrid w:val="0"/>
        <w:spacing w:line="300" w:lineRule="auto"/>
      </w:pPr>
      <w:r w:rsidRPr="005661DE">
        <w:t>[11]</w:t>
      </w:r>
      <w:r w:rsidR="004707AF" w:rsidRPr="005661DE">
        <w:rPr>
          <w:rFonts w:hint="eastAsia"/>
        </w:rPr>
        <w:t xml:space="preserve"> </w:t>
      </w:r>
      <w:r w:rsidR="004707AF" w:rsidRPr="005661DE">
        <w:rPr>
          <w:rFonts w:hint="eastAsia"/>
        </w:rPr>
        <w:t>白秀峰：《以审判为中心诉讼制度下的量刑程序研究》，《三峡大学学报（人文社会科学版）》</w:t>
      </w:r>
      <w:r w:rsidR="004707AF" w:rsidRPr="005661DE">
        <w:rPr>
          <w:rFonts w:hint="eastAsia"/>
        </w:rPr>
        <w:t>2016</w:t>
      </w:r>
      <w:r w:rsidR="004707AF" w:rsidRPr="005661DE">
        <w:rPr>
          <w:rFonts w:hint="eastAsia"/>
        </w:rPr>
        <w:t>年第</w:t>
      </w:r>
      <w:r w:rsidR="004707AF" w:rsidRPr="005661DE">
        <w:rPr>
          <w:rFonts w:hint="eastAsia"/>
        </w:rPr>
        <w:t>4</w:t>
      </w:r>
      <w:r w:rsidR="004707AF" w:rsidRPr="005661DE">
        <w:rPr>
          <w:rFonts w:hint="eastAsia"/>
        </w:rPr>
        <w:t>期。</w:t>
      </w:r>
    </w:p>
    <w:p w14:paraId="386B11FB" w14:textId="77777777" w:rsidR="009E688C" w:rsidRPr="005661DE" w:rsidRDefault="009E688C" w:rsidP="00B717BB">
      <w:pPr>
        <w:snapToGrid w:val="0"/>
        <w:spacing w:line="300" w:lineRule="auto"/>
      </w:pPr>
      <w:r w:rsidRPr="005661DE">
        <w:t>[12]</w:t>
      </w:r>
      <w:r w:rsidR="001B6E55" w:rsidRPr="005661DE">
        <w:rPr>
          <w:rFonts w:hint="eastAsia"/>
        </w:rPr>
        <w:t xml:space="preserve"> </w:t>
      </w:r>
      <w:r w:rsidRPr="005661DE">
        <w:rPr>
          <w:rFonts w:hint="eastAsia"/>
        </w:rPr>
        <w:t>熊秋红：《认罪认罚从宽的理论审视与制度完善》，《法学》</w:t>
      </w:r>
      <w:r w:rsidRPr="005661DE">
        <w:t>2016</w:t>
      </w:r>
      <w:r w:rsidRPr="005661DE">
        <w:rPr>
          <w:rFonts w:hint="eastAsia"/>
        </w:rPr>
        <w:t>年第</w:t>
      </w:r>
      <w:r w:rsidRPr="005661DE">
        <w:t>10</w:t>
      </w:r>
      <w:r w:rsidRPr="005661DE">
        <w:rPr>
          <w:rFonts w:hint="eastAsia"/>
        </w:rPr>
        <w:t>期。</w:t>
      </w:r>
    </w:p>
    <w:p w14:paraId="7E9D93FC" w14:textId="77777777" w:rsidR="009E688C" w:rsidRPr="005661DE" w:rsidRDefault="009E688C" w:rsidP="00B717BB">
      <w:pPr>
        <w:snapToGrid w:val="0"/>
        <w:spacing w:line="300" w:lineRule="auto"/>
      </w:pPr>
      <w:r w:rsidRPr="005661DE">
        <w:t>[13]</w:t>
      </w:r>
      <w:r w:rsidR="001B6E55" w:rsidRPr="005661DE">
        <w:rPr>
          <w:rFonts w:hint="eastAsia"/>
        </w:rPr>
        <w:t xml:space="preserve"> </w:t>
      </w:r>
      <w:r w:rsidRPr="005661DE">
        <w:rPr>
          <w:rFonts w:hint="eastAsia"/>
        </w:rPr>
        <w:t>韩轶：《论被害人量刑建议权的实现》，《法学评论》</w:t>
      </w:r>
      <w:r w:rsidRPr="005661DE">
        <w:t>2017</w:t>
      </w:r>
      <w:r w:rsidRPr="005661DE">
        <w:rPr>
          <w:rFonts w:hint="eastAsia"/>
        </w:rPr>
        <w:t>年第</w:t>
      </w:r>
      <w:r w:rsidRPr="005661DE">
        <w:t>1</w:t>
      </w:r>
      <w:r w:rsidRPr="005661DE">
        <w:rPr>
          <w:rFonts w:hint="eastAsia"/>
        </w:rPr>
        <w:t>期。</w:t>
      </w:r>
    </w:p>
    <w:p w14:paraId="7E432786" w14:textId="77777777" w:rsidR="009E688C" w:rsidRPr="005661DE" w:rsidRDefault="009E688C" w:rsidP="00B717BB">
      <w:pPr>
        <w:snapToGrid w:val="0"/>
        <w:spacing w:line="300" w:lineRule="auto"/>
      </w:pPr>
      <w:r w:rsidRPr="005661DE">
        <w:t>[14]</w:t>
      </w:r>
      <w:r w:rsidR="001B6E55" w:rsidRPr="005661DE">
        <w:rPr>
          <w:rFonts w:hint="eastAsia"/>
        </w:rPr>
        <w:t xml:space="preserve"> </w:t>
      </w:r>
      <w:r w:rsidRPr="005661DE">
        <w:rPr>
          <w:rFonts w:hint="eastAsia"/>
        </w:rPr>
        <w:t>王敏远</w:t>
      </w:r>
      <w:r w:rsidRPr="005661DE">
        <w:t>:</w:t>
      </w:r>
      <w:r w:rsidRPr="005661DE">
        <w:rPr>
          <w:rFonts w:hint="eastAsia"/>
        </w:rPr>
        <w:t>《认罪认罚从宽制度疑难问题研究》，《中国法学》</w:t>
      </w:r>
      <w:r w:rsidRPr="005661DE">
        <w:t>2017</w:t>
      </w:r>
      <w:r w:rsidRPr="005661DE">
        <w:rPr>
          <w:rFonts w:hint="eastAsia"/>
        </w:rPr>
        <w:t>年第</w:t>
      </w:r>
      <w:r w:rsidRPr="005661DE">
        <w:t>1</w:t>
      </w:r>
      <w:r w:rsidRPr="005661DE">
        <w:rPr>
          <w:rFonts w:hint="eastAsia"/>
        </w:rPr>
        <w:t>期。</w:t>
      </w:r>
    </w:p>
    <w:p w14:paraId="71503EFB" w14:textId="77777777" w:rsidR="009E688C" w:rsidRPr="005661DE" w:rsidRDefault="009E688C" w:rsidP="00B717BB">
      <w:pPr>
        <w:snapToGrid w:val="0"/>
        <w:spacing w:line="300" w:lineRule="auto"/>
      </w:pPr>
      <w:r w:rsidRPr="005661DE">
        <w:t>[15]</w:t>
      </w:r>
      <w:r w:rsidR="001B6E55" w:rsidRPr="005661DE">
        <w:rPr>
          <w:rFonts w:hint="eastAsia"/>
        </w:rPr>
        <w:t xml:space="preserve"> </w:t>
      </w:r>
      <w:r w:rsidRPr="005661DE">
        <w:rPr>
          <w:rFonts w:hint="eastAsia"/>
        </w:rPr>
        <w:t>胡铭：《认罪协商程序：模式、问题与底线》，《法学》</w:t>
      </w:r>
      <w:r w:rsidRPr="005661DE">
        <w:t>2017</w:t>
      </w:r>
      <w:r w:rsidRPr="005661DE">
        <w:rPr>
          <w:rFonts w:hint="eastAsia"/>
        </w:rPr>
        <w:t>年第</w:t>
      </w:r>
      <w:r w:rsidRPr="005661DE">
        <w:t>1</w:t>
      </w:r>
      <w:r w:rsidRPr="005661DE">
        <w:rPr>
          <w:rFonts w:hint="eastAsia"/>
        </w:rPr>
        <w:t>期。</w:t>
      </w:r>
    </w:p>
    <w:p w14:paraId="2E8D1467" w14:textId="77777777" w:rsidR="009E688C" w:rsidRPr="005661DE" w:rsidRDefault="009E688C" w:rsidP="00B717BB">
      <w:pPr>
        <w:snapToGrid w:val="0"/>
        <w:spacing w:line="300" w:lineRule="auto"/>
      </w:pPr>
      <w:r w:rsidRPr="005661DE">
        <w:t>[1</w:t>
      </w:r>
      <w:r w:rsidR="00880834" w:rsidRPr="005661DE">
        <w:t>6</w:t>
      </w:r>
      <w:r w:rsidRPr="005661DE">
        <w:t>]</w:t>
      </w:r>
      <w:r w:rsidR="001B6E55" w:rsidRPr="005661DE">
        <w:rPr>
          <w:rFonts w:hint="eastAsia"/>
        </w:rPr>
        <w:t xml:space="preserve"> </w:t>
      </w:r>
      <w:r w:rsidRPr="005661DE">
        <w:rPr>
          <w:rFonts w:hint="eastAsia"/>
        </w:rPr>
        <w:t>卢建平：《刑事政策视野中的认罪认罚从宽》，《中外法学》</w:t>
      </w:r>
      <w:r w:rsidRPr="005661DE">
        <w:t>2017</w:t>
      </w:r>
      <w:r w:rsidRPr="005661DE">
        <w:rPr>
          <w:rFonts w:hint="eastAsia"/>
        </w:rPr>
        <w:t>年第</w:t>
      </w:r>
      <w:r w:rsidRPr="005661DE">
        <w:t>4</w:t>
      </w:r>
      <w:r w:rsidRPr="005661DE">
        <w:rPr>
          <w:rFonts w:hint="eastAsia"/>
        </w:rPr>
        <w:t>期。</w:t>
      </w:r>
    </w:p>
    <w:p w14:paraId="75547893" w14:textId="77777777" w:rsidR="009E688C" w:rsidRPr="005661DE" w:rsidRDefault="00880834" w:rsidP="00B717BB">
      <w:pPr>
        <w:snapToGrid w:val="0"/>
        <w:spacing w:line="300" w:lineRule="auto"/>
      </w:pPr>
      <w:r w:rsidRPr="005661DE">
        <w:t>[17</w:t>
      </w:r>
      <w:r w:rsidR="009E688C" w:rsidRPr="005661DE">
        <w:t>]</w:t>
      </w:r>
      <w:r w:rsidR="001B6E55" w:rsidRPr="005661DE">
        <w:rPr>
          <w:rFonts w:hint="eastAsia"/>
        </w:rPr>
        <w:t xml:space="preserve"> </w:t>
      </w:r>
      <w:r w:rsidR="009E688C" w:rsidRPr="005661DE">
        <w:rPr>
          <w:rFonts w:hint="eastAsia"/>
        </w:rPr>
        <w:t>陈瑞华：《检察机关法律职能的重新定位》，《中国法律评论》</w:t>
      </w:r>
      <w:r w:rsidR="009E688C" w:rsidRPr="005661DE">
        <w:t>2017</w:t>
      </w:r>
      <w:r w:rsidR="009E688C" w:rsidRPr="005661DE">
        <w:rPr>
          <w:rFonts w:hint="eastAsia"/>
        </w:rPr>
        <w:t>年第</w:t>
      </w:r>
      <w:r w:rsidR="009E688C" w:rsidRPr="005661DE">
        <w:t>5</w:t>
      </w:r>
      <w:r w:rsidR="009E688C" w:rsidRPr="005661DE">
        <w:rPr>
          <w:rFonts w:hint="eastAsia"/>
        </w:rPr>
        <w:t>期。</w:t>
      </w:r>
    </w:p>
    <w:p w14:paraId="44A29258" w14:textId="3D998D60" w:rsidR="009E688C" w:rsidRPr="005661DE" w:rsidRDefault="00880834" w:rsidP="00B717BB">
      <w:pPr>
        <w:snapToGrid w:val="0"/>
        <w:spacing w:line="300" w:lineRule="auto"/>
      </w:pPr>
      <w:r w:rsidRPr="005661DE">
        <w:t>[18</w:t>
      </w:r>
      <w:r w:rsidR="009E688C" w:rsidRPr="005661DE">
        <w:t>]</w:t>
      </w:r>
      <w:r w:rsidR="001B6E55" w:rsidRPr="005661DE">
        <w:rPr>
          <w:rFonts w:hint="eastAsia"/>
        </w:rPr>
        <w:t xml:space="preserve"> </w:t>
      </w:r>
      <w:r w:rsidR="009E688C" w:rsidRPr="005661DE">
        <w:rPr>
          <w:rFonts w:hint="eastAsia"/>
        </w:rPr>
        <w:t>张全印：《认罪认罚从宽量刑的规范化》，《人民司法</w:t>
      </w:r>
      <w:r w:rsidR="00B717BB">
        <w:rPr>
          <w:rFonts w:hint="eastAsia"/>
        </w:rPr>
        <w:t>（</w:t>
      </w:r>
      <w:r w:rsidR="009E688C" w:rsidRPr="005661DE">
        <w:rPr>
          <w:rFonts w:hint="eastAsia"/>
        </w:rPr>
        <w:t>应用</w:t>
      </w:r>
      <w:r w:rsidR="00B717BB">
        <w:rPr>
          <w:rFonts w:hint="eastAsia"/>
        </w:rPr>
        <w:t>）</w:t>
      </w:r>
      <w:r w:rsidR="009E688C" w:rsidRPr="005661DE">
        <w:rPr>
          <w:rFonts w:hint="eastAsia"/>
        </w:rPr>
        <w:t>》</w:t>
      </w:r>
      <w:r w:rsidR="009E688C" w:rsidRPr="005661DE">
        <w:t>2017</w:t>
      </w:r>
      <w:r w:rsidR="009E688C" w:rsidRPr="005661DE">
        <w:rPr>
          <w:rFonts w:hint="eastAsia"/>
        </w:rPr>
        <w:t>年第</w:t>
      </w:r>
      <w:r w:rsidR="009E688C" w:rsidRPr="005661DE">
        <w:t>10</w:t>
      </w:r>
      <w:r w:rsidR="009E688C" w:rsidRPr="005661DE">
        <w:rPr>
          <w:rFonts w:hint="eastAsia"/>
        </w:rPr>
        <w:t>期。</w:t>
      </w:r>
    </w:p>
    <w:p w14:paraId="2BD50606" w14:textId="77777777" w:rsidR="009E688C" w:rsidRPr="005661DE" w:rsidRDefault="00880834" w:rsidP="00B717BB">
      <w:pPr>
        <w:snapToGrid w:val="0"/>
        <w:spacing w:line="300" w:lineRule="auto"/>
      </w:pPr>
      <w:r w:rsidRPr="005661DE">
        <w:lastRenderedPageBreak/>
        <w:t>[19</w:t>
      </w:r>
      <w:r w:rsidR="009E688C" w:rsidRPr="005661DE">
        <w:t>]</w:t>
      </w:r>
      <w:r w:rsidR="001B6E55" w:rsidRPr="005661DE">
        <w:rPr>
          <w:rFonts w:hint="eastAsia"/>
        </w:rPr>
        <w:t xml:space="preserve"> </w:t>
      </w:r>
      <w:r w:rsidR="009E688C" w:rsidRPr="005661DE">
        <w:rPr>
          <w:rFonts w:hint="eastAsia"/>
        </w:rPr>
        <w:t>刘占勇：《认罪认罚从宽制度中量刑建议问题研究》，《中国检察官》</w:t>
      </w:r>
      <w:r w:rsidR="009E688C" w:rsidRPr="005661DE">
        <w:t>2017</w:t>
      </w:r>
      <w:r w:rsidR="009E688C" w:rsidRPr="005661DE">
        <w:rPr>
          <w:rFonts w:hint="eastAsia"/>
        </w:rPr>
        <w:t>年第</w:t>
      </w:r>
      <w:r w:rsidR="009E688C" w:rsidRPr="005661DE">
        <w:t>11</w:t>
      </w:r>
      <w:r w:rsidR="009E688C" w:rsidRPr="005661DE">
        <w:rPr>
          <w:rFonts w:hint="eastAsia"/>
        </w:rPr>
        <w:t>期。</w:t>
      </w:r>
    </w:p>
    <w:p w14:paraId="2654D5AB" w14:textId="77777777" w:rsidR="009E688C" w:rsidRPr="005661DE" w:rsidRDefault="009E688C" w:rsidP="00B717BB">
      <w:pPr>
        <w:snapToGrid w:val="0"/>
        <w:spacing w:line="300" w:lineRule="auto"/>
      </w:pPr>
      <w:r w:rsidRPr="005661DE">
        <w:t>[</w:t>
      </w:r>
      <w:r w:rsidR="00880834" w:rsidRPr="005661DE">
        <w:t>20</w:t>
      </w:r>
      <w:r w:rsidRPr="005661DE">
        <w:t>]</w:t>
      </w:r>
      <w:r w:rsidR="001B6E55" w:rsidRPr="005661DE">
        <w:rPr>
          <w:rFonts w:hint="eastAsia"/>
        </w:rPr>
        <w:t xml:space="preserve"> </w:t>
      </w:r>
      <w:r w:rsidR="002F05E2" w:rsidRPr="005661DE">
        <w:rPr>
          <w:rFonts w:hint="eastAsia"/>
        </w:rPr>
        <w:t>张国轩：《“认罚从宽”的认定和实现方式》，《国家检察官学院学报》</w:t>
      </w:r>
      <w:r w:rsidR="002F05E2" w:rsidRPr="005661DE">
        <w:t>2018</w:t>
      </w:r>
      <w:r w:rsidR="002F05E2" w:rsidRPr="005661DE">
        <w:rPr>
          <w:rFonts w:hint="eastAsia"/>
        </w:rPr>
        <w:t>年第</w:t>
      </w:r>
      <w:r w:rsidR="002F05E2" w:rsidRPr="005661DE">
        <w:t>5</w:t>
      </w:r>
      <w:r w:rsidR="002F05E2" w:rsidRPr="005661DE">
        <w:rPr>
          <w:rFonts w:hint="eastAsia"/>
        </w:rPr>
        <w:t>期。</w:t>
      </w:r>
    </w:p>
    <w:p w14:paraId="1F95D185" w14:textId="77777777" w:rsidR="009E688C" w:rsidRPr="005661DE" w:rsidRDefault="00880834" w:rsidP="00B717BB">
      <w:pPr>
        <w:snapToGrid w:val="0"/>
        <w:spacing w:line="300" w:lineRule="auto"/>
      </w:pPr>
      <w:r w:rsidRPr="005661DE">
        <w:t>[21</w:t>
      </w:r>
      <w:r w:rsidR="009E688C" w:rsidRPr="005661DE">
        <w:t>]</w:t>
      </w:r>
      <w:r w:rsidR="001B6E55" w:rsidRPr="005661DE">
        <w:rPr>
          <w:rFonts w:hint="eastAsia"/>
        </w:rPr>
        <w:t xml:space="preserve"> </w:t>
      </w:r>
      <w:r w:rsidR="002F05E2" w:rsidRPr="005661DE">
        <w:rPr>
          <w:rFonts w:hint="eastAsia"/>
        </w:rPr>
        <w:t>孙谦：《检察机关贯彻修改后刑事诉讼法的若干问题》，《国家检察官学院学报》</w:t>
      </w:r>
      <w:r w:rsidR="002F05E2" w:rsidRPr="005661DE">
        <w:t>2018</w:t>
      </w:r>
      <w:r w:rsidR="002F05E2" w:rsidRPr="005661DE">
        <w:rPr>
          <w:rFonts w:hint="eastAsia"/>
        </w:rPr>
        <w:t>年第</w:t>
      </w:r>
      <w:r w:rsidR="002F05E2" w:rsidRPr="005661DE">
        <w:t>6</w:t>
      </w:r>
      <w:r w:rsidR="002F05E2" w:rsidRPr="005661DE">
        <w:rPr>
          <w:rFonts w:hint="eastAsia"/>
        </w:rPr>
        <w:t>期。</w:t>
      </w:r>
    </w:p>
    <w:p w14:paraId="5193B155" w14:textId="77777777" w:rsidR="009E688C" w:rsidRPr="005661DE" w:rsidRDefault="00880834" w:rsidP="00B717BB">
      <w:pPr>
        <w:snapToGrid w:val="0"/>
        <w:spacing w:line="300" w:lineRule="auto"/>
      </w:pPr>
      <w:r w:rsidRPr="005661DE">
        <w:t>[22</w:t>
      </w:r>
      <w:r w:rsidR="009E688C" w:rsidRPr="005661DE">
        <w:t>]</w:t>
      </w:r>
      <w:r w:rsidR="001B6E55" w:rsidRPr="005661DE">
        <w:rPr>
          <w:rFonts w:hint="eastAsia"/>
        </w:rPr>
        <w:t xml:space="preserve"> </w:t>
      </w:r>
      <w:r w:rsidR="002F05E2" w:rsidRPr="005661DE">
        <w:rPr>
          <w:rFonts w:hint="eastAsia"/>
        </w:rPr>
        <w:t>樊崇义：《</w:t>
      </w:r>
      <w:r w:rsidR="002F05E2" w:rsidRPr="005661DE">
        <w:t>2018</w:t>
      </w:r>
      <w:r w:rsidR="002F05E2" w:rsidRPr="005661DE">
        <w:rPr>
          <w:rFonts w:hint="eastAsia"/>
        </w:rPr>
        <w:t>年刑事诉讼法最新修改解读》，《中国法律评论》</w:t>
      </w:r>
      <w:r w:rsidR="002F05E2" w:rsidRPr="005661DE">
        <w:t>2018</w:t>
      </w:r>
      <w:r w:rsidR="002F05E2" w:rsidRPr="005661DE">
        <w:rPr>
          <w:rFonts w:hint="eastAsia"/>
        </w:rPr>
        <w:t>年第</w:t>
      </w:r>
      <w:r w:rsidR="002F05E2" w:rsidRPr="005661DE">
        <w:t>6</w:t>
      </w:r>
      <w:r w:rsidR="002F05E2" w:rsidRPr="005661DE">
        <w:rPr>
          <w:rFonts w:hint="eastAsia"/>
        </w:rPr>
        <w:t>期。</w:t>
      </w:r>
    </w:p>
    <w:p w14:paraId="2A06F7CD" w14:textId="77777777" w:rsidR="009E688C" w:rsidRPr="005661DE" w:rsidRDefault="00880834" w:rsidP="00B717BB">
      <w:pPr>
        <w:snapToGrid w:val="0"/>
        <w:spacing w:line="300" w:lineRule="auto"/>
      </w:pPr>
      <w:r w:rsidRPr="005661DE">
        <w:t>[23</w:t>
      </w:r>
      <w:r w:rsidR="009E688C" w:rsidRPr="005661DE">
        <w:t>]</w:t>
      </w:r>
      <w:r w:rsidR="001B6E55" w:rsidRPr="005661DE">
        <w:rPr>
          <w:rFonts w:hint="eastAsia"/>
        </w:rPr>
        <w:t xml:space="preserve"> </w:t>
      </w:r>
      <w:r w:rsidR="002F05E2" w:rsidRPr="005661DE">
        <w:rPr>
          <w:rFonts w:hint="eastAsia"/>
        </w:rPr>
        <w:t>石魏：《认罪认罚从宽制度下量刑协商的适用》，《人民司法（案例）》</w:t>
      </w:r>
      <w:r w:rsidR="002F05E2" w:rsidRPr="005661DE">
        <w:t>2018</w:t>
      </w:r>
      <w:r w:rsidR="002F05E2" w:rsidRPr="005661DE">
        <w:rPr>
          <w:rFonts w:hint="eastAsia"/>
        </w:rPr>
        <w:t>年第</w:t>
      </w:r>
      <w:r w:rsidR="002F05E2" w:rsidRPr="005661DE">
        <w:t>32</w:t>
      </w:r>
      <w:r w:rsidR="002F05E2" w:rsidRPr="005661DE">
        <w:rPr>
          <w:rFonts w:hint="eastAsia"/>
        </w:rPr>
        <w:t>期。</w:t>
      </w:r>
    </w:p>
    <w:p w14:paraId="685D38DB" w14:textId="77777777" w:rsidR="009E688C" w:rsidRPr="005661DE" w:rsidRDefault="00880834" w:rsidP="00B717BB">
      <w:pPr>
        <w:snapToGrid w:val="0"/>
        <w:spacing w:line="300" w:lineRule="auto"/>
      </w:pPr>
      <w:r w:rsidRPr="005661DE">
        <w:t>[24</w:t>
      </w:r>
      <w:r w:rsidR="009E688C" w:rsidRPr="005661DE">
        <w:t>]</w:t>
      </w:r>
      <w:r w:rsidR="001B6E55" w:rsidRPr="005661DE">
        <w:rPr>
          <w:rFonts w:hint="eastAsia"/>
        </w:rPr>
        <w:t xml:space="preserve"> </w:t>
      </w:r>
      <w:r w:rsidR="002F05E2" w:rsidRPr="005661DE">
        <w:rPr>
          <w:rFonts w:hint="eastAsia"/>
        </w:rPr>
        <w:t>陈国庆：《刑事诉讼法修改与刑事检察工作的新发展》，《国家检察官学院学报》</w:t>
      </w:r>
      <w:r w:rsidR="002F05E2" w:rsidRPr="005661DE">
        <w:t>2019</w:t>
      </w:r>
      <w:r w:rsidR="002F05E2" w:rsidRPr="005661DE">
        <w:rPr>
          <w:rFonts w:hint="eastAsia"/>
        </w:rPr>
        <w:t>年第</w:t>
      </w:r>
      <w:r w:rsidR="002F05E2" w:rsidRPr="005661DE">
        <w:t>1</w:t>
      </w:r>
      <w:r w:rsidR="002F05E2" w:rsidRPr="005661DE">
        <w:rPr>
          <w:rFonts w:hint="eastAsia"/>
        </w:rPr>
        <w:t>期。</w:t>
      </w:r>
    </w:p>
    <w:p w14:paraId="5B5B0B0A" w14:textId="77777777" w:rsidR="009E688C" w:rsidRPr="005661DE" w:rsidRDefault="009E688C" w:rsidP="00B717BB">
      <w:pPr>
        <w:snapToGrid w:val="0"/>
        <w:spacing w:line="300" w:lineRule="auto"/>
      </w:pPr>
      <w:r w:rsidRPr="005661DE">
        <w:t>[</w:t>
      </w:r>
      <w:r w:rsidR="00880834" w:rsidRPr="005661DE">
        <w:t>25</w:t>
      </w:r>
      <w:r w:rsidRPr="005661DE">
        <w:t>]</w:t>
      </w:r>
      <w:r w:rsidR="001B6E55" w:rsidRPr="005661DE">
        <w:rPr>
          <w:rFonts w:hint="eastAsia"/>
        </w:rPr>
        <w:t xml:space="preserve"> </w:t>
      </w:r>
      <w:r w:rsidR="002F05E2" w:rsidRPr="005661DE">
        <w:rPr>
          <w:rFonts w:hint="eastAsia"/>
        </w:rPr>
        <w:t>魏晓娜：《结构视角下的认罪认罚从宽制度》，《法学家》</w:t>
      </w:r>
      <w:r w:rsidR="002F05E2" w:rsidRPr="005661DE">
        <w:t>2019</w:t>
      </w:r>
      <w:r w:rsidR="002F05E2" w:rsidRPr="005661DE">
        <w:rPr>
          <w:rFonts w:hint="eastAsia"/>
        </w:rPr>
        <w:t>年第</w:t>
      </w:r>
      <w:r w:rsidR="002F05E2" w:rsidRPr="005661DE">
        <w:t>2</w:t>
      </w:r>
      <w:r w:rsidR="002F05E2" w:rsidRPr="005661DE">
        <w:rPr>
          <w:rFonts w:hint="eastAsia"/>
        </w:rPr>
        <w:t>期。</w:t>
      </w:r>
    </w:p>
    <w:p w14:paraId="4EC36489" w14:textId="77777777" w:rsidR="009E688C" w:rsidRPr="005661DE" w:rsidRDefault="00880834" w:rsidP="00B717BB">
      <w:pPr>
        <w:snapToGrid w:val="0"/>
        <w:spacing w:line="300" w:lineRule="auto"/>
      </w:pPr>
      <w:r w:rsidRPr="005661DE">
        <w:t>[26</w:t>
      </w:r>
      <w:r w:rsidR="009E688C" w:rsidRPr="005661DE">
        <w:t>]</w:t>
      </w:r>
      <w:r w:rsidR="001B6E55" w:rsidRPr="005661DE">
        <w:rPr>
          <w:rFonts w:hint="eastAsia"/>
        </w:rPr>
        <w:t xml:space="preserve"> </w:t>
      </w:r>
      <w:r w:rsidR="002F05E2" w:rsidRPr="005661DE">
        <w:rPr>
          <w:rFonts w:hint="eastAsia"/>
        </w:rPr>
        <w:t>周光权：《论刑法与认罪认罚从宽制度的衔接》，《清华法学》</w:t>
      </w:r>
      <w:r w:rsidR="002F05E2" w:rsidRPr="005661DE">
        <w:t>2019</w:t>
      </w:r>
      <w:r w:rsidR="002F05E2" w:rsidRPr="005661DE">
        <w:rPr>
          <w:rFonts w:hint="eastAsia"/>
        </w:rPr>
        <w:t>年第</w:t>
      </w:r>
      <w:r w:rsidR="002F05E2" w:rsidRPr="005661DE">
        <w:t>3</w:t>
      </w:r>
      <w:r w:rsidR="002F05E2" w:rsidRPr="005661DE">
        <w:rPr>
          <w:rFonts w:hint="eastAsia"/>
        </w:rPr>
        <w:t>期。</w:t>
      </w:r>
    </w:p>
    <w:p w14:paraId="38F4B6CF" w14:textId="77777777" w:rsidR="009E688C" w:rsidRPr="005661DE" w:rsidRDefault="00880834" w:rsidP="00B717BB">
      <w:pPr>
        <w:snapToGrid w:val="0"/>
        <w:spacing w:line="300" w:lineRule="auto"/>
      </w:pPr>
      <w:r w:rsidRPr="005661DE">
        <w:t>[27</w:t>
      </w:r>
      <w:r w:rsidR="009E688C" w:rsidRPr="005661DE">
        <w:t>]</w:t>
      </w:r>
      <w:r w:rsidR="001B6E55" w:rsidRPr="005661DE">
        <w:rPr>
          <w:rFonts w:hint="eastAsia"/>
        </w:rPr>
        <w:t xml:space="preserve"> </w:t>
      </w:r>
      <w:r w:rsidR="002F05E2" w:rsidRPr="005661DE">
        <w:rPr>
          <w:rFonts w:hint="eastAsia"/>
        </w:rPr>
        <w:t>周新：《认罪认罚案件中量刑从宽的实践性反思》，《法学》</w:t>
      </w:r>
      <w:r w:rsidR="002F05E2" w:rsidRPr="005661DE">
        <w:t>2019</w:t>
      </w:r>
      <w:r w:rsidR="002F05E2" w:rsidRPr="005661DE">
        <w:rPr>
          <w:rFonts w:hint="eastAsia"/>
        </w:rPr>
        <w:t>年第</w:t>
      </w:r>
      <w:r w:rsidR="002F05E2" w:rsidRPr="005661DE">
        <w:t>6</w:t>
      </w:r>
      <w:r w:rsidR="002F05E2" w:rsidRPr="005661DE">
        <w:rPr>
          <w:rFonts w:hint="eastAsia"/>
        </w:rPr>
        <w:t>期。</w:t>
      </w:r>
    </w:p>
    <w:p w14:paraId="1F15F147" w14:textId="77777777" w:rsidR="009E688C" w:rsidRPr="005661DE" w:rsidRDefault="00880834" w:rsidP="00B717BB">
      <w:pPr>
        <w:snapToGrid w:val="0"/>
        <w:spacing w:line="300" w:lineRule="auto"/>
      </w:pPr>
      <w:r w:rsidRPr="005661DE">
        <w:t>[28</w:t>
      </w:r>
      <w:r w:rsidR="009E688C" w:rsidRPr="005661DE">
        <w:t>]</w:t>
      </w:r>
      <w:r w:rsidR="001B6E55" w:rsidRPr="005661DE">
        <w:rPr>
          <w:rFonts w:hint="eastAsia"/>
        </w:rPr>
        <w:t xml:space="preserve"> </w:t>
      </w:r>
      <w:r w:rsidR="002F05E2" w:rsidRPr="005661DE">
        <w:rPr>
          <w:rFonts w:hint="eastAsia"/>
        </w:rPr>
        <w:t>鲍健、陈申骁：《认罪认罚从宽制度中量刑建议的精准化途径与方法</w:t>
      </w:r>
      <w:r w:rsidR="002F05E2" w:rsidRPr="005661DE">
        <w:t>——</w:t>
      </w:r>
      <w:r w:rsidR="002F05E2" w:rsidRPr="005661DE">
        <w:rPr>
          <w:rFonts w:hint="eastAsia"/>
        </w:rPr>
        <w:t>以杭州市检察机关的试点实践为基础》，《法律适用》</w:t>
      </w:r>
      <w:r w:rsidR="002F05E2" w:rsidRPr="005661DE">
        <w:t>2019</w:t>
      </w:r>
      <w:r w:rsidR="002F05E2" w:rsidRPr="005661DE">
        <w:rPr>
          <w:rFonts w:hint="eastAsia"/>
        </w:rPr>
        <w:t>年第</w:t>
      </w:r>
      <w:r w:rsidR="002F05E2" w:rsidRPr="005661DE">
        <w:t>13</w:t>
      </w:r>
      <w:r w:rsidR="002F05E2" w:rsidRPr="005661DE">
        <w:rPr>
          <w:rFonts w:hint="eastAsia"/>
        </w:rPr>
        <w:t>期。</w:t>
      </w:r>
    </w:p>
    <w:p w14:paraId="27D5EE9C" w14:textId="77777777" w:rsidR="009E688C" w:rsidRPr="005661DE" w:rsidRDefault="009E688C" w:rsidP="00B717BB">
      <w:pPr>
        <w:snapToGrid w:val="0"/>
        <w:spacing w:line="300" w:lineRule="auto"/>
        <w:rPr>
          <w:b/>
          <w:bCs/>
          <w:sz w:val="28"/>
          <w:szCs w:val="28"/>
        </w:rPr>
      </w:pPr>
      <w:r w:rsidRPr="005661DE">
        <w:rPr>
          <w:rFonts w:hint="eastAsia"/>
          <w:b/>
          <w:bCs/>
          <w:sz w:val="28"/>
          <w:szCs w:val="28"/>
        </w:rPr>
        <w:t>三、学位论文类</w:t>
      </w:r>
    </w:p>
    <w:p w14:paraId="552FAAE4" w14:textId="77777777" w:rsidR="009E688C" w:rsidRPr="005661DE" w:rsidRDefault="009E688C" w:rsidP="00B717BB">
      <w:pPr>
        <w:snapToGrid w:val="0"/>
        <w:spacing w:line="300" w:lineRule="auto"/>
      </w:pPr>
      <w:r w:rsidRPr="005661DE">
        <w:t xml:space="preserve">[1] </w:t>
      </w:r>
      <w:r w:rsidRPr="005661DE">
        <w:rPr>
          <w:rFonts w:hint="eastAsia"/>
        </w:rPr>
        <w:t>张国轩：《检察机关量刑建议问题研究》，中国政法大学</w:t>
      </w:r>
      <w:r w:rsidRPr="005661DE">
        <w:t>2009</w:t>
      </w:r>
      <w:r w:rsidRPr="005661DE">
        <w:rPr>
          <w:rFonts w:hint="eastAsia"/>
        </w:rPr>
        <w:t>年博士论文。</w:t>
      </w:r>
    </w:p>
    <w:p w14:paraId="20BBCCF7" w14:textId="77777777" w:rsidR="009E688C" w:rsidRPr="005661DE" w:rsidRDefault="009E688C" w:rsidP="00B717BB">
      <w:pPr>
        <w:snapToGrid w:val="0"/>
        <w:spacing w:line="300" w:lineRule="auto"/>
        <w:rPr>
          <w:b/>
          <w:bCs/>
          <w:sz w:val="28"/>
          <w:szCs w:val="28"/>
        </w:rPr>
      </w:pPr>
      <w:r w:rsidRPr="005661DE">
        <w:rPr>
          <w:rFonts w:hint="eastAsia"/>
          <w:b/>
          <w:bCs/>
          <w:sz w:val="28"/>
          <w:szCs w:val="28"/>
        </w:rPr>
        <w:t>四、报纸类</w:t>
      </w:r>
    </w:p>
    <w:p w14:paraId="5FB2D4EE" w14:textId="44B2703D" w:rsidR="009E688C" w:rsidRPr="005661DE" w:rsidRDefault="002F05E2" w:rsidP="00B717BB">
      <w:pPr>
        <w:snapToGrid w:val="0"/>
        <w:spacing w:line="300" w:lineRule="auto"/>
      </w:pPr>
      <w:r>
        <w:t>[1</w:t>
      </w:r>
      <w:r w:rsidR="009E688C" w:rsidRPr="005661DE">
        <w:t>]</w:t>
      </w:r>
      <w:r w:rsidR="001B6E55" w:rsidRPr="005661DE">
        <w:rPr>
          <w:rFonts w:hint="eastAsia"/>
        </w:rPr>
        <w:t xml:space="preserve"> </w:t>
      </w:r>
      <w:r w:rsidR="009E688C" w:rsidRPr="005661DE">
        <w:rPr>
          <w:rFonts w:hint="eastAsia"/>
        </w:rPr>
        <w:t>林艺芳：《规范认罪认罚从宽制中的权利告知》，《中国社会科学报》</w:t>
      </w:r>
      <w:r w:rsidR="009E688C" w:rsidRPr="005661DE">
        <w:t>2018</w:t>
      </w:r>
      <w:r w:rsidR="009E688C" w:rsidRPr="005661DE">
        <w:rPr>
          <w:rFonts w:hint="eastAsia"/>
        </w:rPr>
        <w:t>年</w:t>
      </w:r>
      <w:r w:rsidR="009E688C" w:rsidRPr="005661DE">
        <w:t>7</w:t>
      </w:r>
      <w:r w:rsidR="009E688C" w:rsidRPr="005661DE">
        <w:rPr>
          <w:rFonts w:hint="eastAsia"/>
        </w:rPr>
        <w:t>月</w:t>
      </w:r>
      <w:r w:rsidR="009E688C" w:rsidRPr="005661DE">
        <w:t>11</w:t>
      </w:r>
      <w:r w:rsidR="009E688C" w:rsidRPr="005661DE">
        <w:rPr>
          <w:rFonts w:hint="eastAsia"/>
        </w:rPr>
        <w:t>日</w:t>
      </w:r>
      <w:r w:rsidR="00244D89">
        <w:rPr>
          <w:rFonts w:hint="eastAsia"/>
        </w:rPr>
        <w:t>，</w:t>
      </w:r>
      <w:r w:rsidR="009E688C" w:rsidRPr="005661DE">
        <w:rPr>
          <w:rFonts w:hint="eastAsia"/>
        </w:rPr>
        <w:t>第</w:t>
      </w:r>
      <w:r w:rsidR="009E688C" w:rsidRPr="005661DE">
        <w:t>5</w:t>
      </w:r>
      <w:r w:rsidR="009E688C" w:rsidRPr="005661DE">
        <w:rPr>
          <w:rFonts w:hint="eastAsia"/>
        </w:rPr>
        <w:t>版。</w:t>
      </w:r>
    </w:p>
    <w:p w14:paraId="6A9F86F3" w14:textId="0C88BCFD" w:rsidR="009E688C" w:rsidRPr="005661DE" w:rsidRDefault="002F05E2" w:rsidP="00B717BB">
      <w:pPr>
        <w:snapToGrid w:val="0"/>
        <w:spacing w:line="300" w:lineRule="auto"/>
      </w:pPr>
      <w:r>
        <w:t>[2</w:t>
      </w:r>
      <w:r w:rsidR="009E688C" w:rsidRPr="005661DE">
        <w:t>]</w:t>
      </w:r>
      <w:r w:rsidR="001B6E55" w:rsidRPr="005661DE">
        <w:rPr>
          <w:rFonts w:hint="eastAsia"/>
        </w:rPr>
        <w:t xml:space="preserve"> </w:t>
      </w:r>
      <w:r w:rsidR="009E688C" w:rsidRPr="005661DE">
        <w:rPr>
          <w:rFonts w:hint="eastAsia"/>
        </w:rPr>
        <w:t>孙谦：《认罪认罚从宽贯穿整个刑诉程序》，《法制日报》</w:t>
      </w:r>
      <w:r w:rsidR="009E688C" w:rsidRPr="005661DE">
        <w:t>2018</w:t>
      </w:r>
      <w:r w:rsidR="009E688C" w:rsidRPr="005661DE">
        <w:rPr>
          <w:rFonts w:hint="eastAsia"/>
        </w:rPr>
        <w:t>年</w:t>
      </w:r>
      <w:r w:rsidR="009E688C" w:rsidRPr="005661DE">
        <w:t>12</w:t>
      </w:r>
      <w:r w:rsidR="009E688C" w:rsidRPr="005661DE">
        <w:rPr>
          <w:rFonts w:hint="eastAsia"/>
        </w:rPr>
        <w:t>月</w:t>
      </w:r>
      <w:r w:rsidR="009E688C" w:rsidRPr="005661DE">
        <w:t>13</w:t>
      </w:r>
      <w:r w:rsidR="009E688C" w:rsidRPr="005661DE">
        <w:rPr>
          <w:rFonts w:hint="eastAsia"/>
        </w:rPr>
        <w:t>日</w:t>
      </w:r>
      <w:r w:rsidR="00244D89">
        <w:rPr>
          <w:rFonts w:hint="eastAsia"/>
        </w:rPr>
        <w:t>，</w:t>
      </w:r>
      <w:r w:rsidR="009E688C" w:rsidRPr="005661DE">
        <w:rPr>
          <w:rFonts w:hint="eastAsia"/>
        </w:rPr>
        <w:t>第</w:t>
      </w:r>
      <w:r w:rsidR="009E688C" w:rsidRPr="005661DE">
        <w:t>1</w:t>
      </w:r>
      <w:r w:rsidR="009E688C" w:rsidRPr="005661DE">
        <w:rPr>
          <w:rFonts w:hint="eastAsia"/>
        </w:rPr>
        <w:t>版。</w:t>
      </w:r>
    </w:p>
    <w:p w14:paraId="050905FA" w14:textId="74C6EDCE" w:rsidR="009E688C" w:rsidRPr="005661DE" w:rsidRDefault="002F05E2" w:rsidP="00B717BB">
      <w:pPr>
        <w:snapToGrid w:val="0"/>
        <w:spacing w:line="300" w:lineRule="auto"/>
      </w:pPr>
      <w:r>
        <w:t>[3</w:t>
      </w:r>
      <w:r w:rsidR="009E688C" w:rsidRPr="005661DE">
        <w:t>]</w:t>
      </w:r>
      <w:r w:rsidR="008A4BCA" w:rsidRPr="005661DE">
        <w:rPr>
          <w:rFonts w:hint="eastAsia"/>
        </w:rPr>
        <w:t xml:space="preserve"> </w:t>
      </w:r>
      <w:r w:rsidR="008A4BCA" w:rsidRPr="005661DE">
        <w:rPr>
          <w:rFonts w:hint="eastAsia"/>
        </w:rPr>
        <w:t>王迎龙：《认罪认罚从宽制度下轻罪冤假错案的防范》，《人民法院报》</w:t>
      </w:r>
      <w:r w:rsidR="008A4BCA" w:rsidRPr="005661DE">
        <w:t>2019</w:t>
      </w:r>
      <w:r w:rsidR="008A4BCA" w:rsidRPr="005661DE">
        <w:rPr>
          <w:rFonts w:hint="eastAsia"/>
        </w:rPr>
        <w:t>年</w:t>
      </w:r>
      <w:r w:rsidR="008A4BCA" w:rsidRPr="005661DE">
        <w:t>2</w:t>
      </w:r>
      <w:r w:rsidR="008A4BCA" w:rsidRPr="005661DE">
        <w:rPr>
          <w:rFonts w:hint="eastAsia"/>
        </w:rPr>
        <w:t>月</w:t>
      </w:r>
      <w:r w:rsidR="008A4BCA" w:rsidRPr="005661DE">
        <w:t>14</w:t>
      </w:r>
      <w:r w:rsidR="008A4BCA" w:rsidRPr="005661DE">
        <w:rPr>
          <w:rFonts w:hint="eastAsia"/>
        </w:rPr>
        <w:t>日</w:t>
      </w:r>
      <w:r w:rsidR="00244D89">
        <w:rPr>
          <w:rFonts w:hint="eastAsia"/>
        </w:rPr>
        <w:t>，</w:t>
      </w:r>
      <w:r w:rsidR="008A4BCA" w:rsidRPr="005661DE">
        <w:rPr>
          <w:rFonts w:hint="eastAsia"/>
        </w:rPr>
        <w:t>第</w:t>
      </w:r>
      <w:r w:rsidR="008A4BCA" w:rsidRPr="005661DE">
        <w:t>6</w:t>
      </w:r>
      <w:r w:rsidR="008A4BCA" w:rsidRPr="005661DE">
        <w:rPr>
          <w:rFonts w:hint="eastAsia"/>
        </w:rPr>
        <w:t>版。</w:t>
      </w:r>
    </w:p>
    <w:p w14:paraId="4636F84D" w14:textId="0E9DE503" w:rsidR="009E688C" w:rsidRPr="005661DE" w:rsidRDefault="002F05E2" w:rsidP="00B717BB">
      <w:pPr>
        <w:snapToGrid w:val="0"/>
        <w:spacing w:line="300" w:lineRule="auto"/>
      </w:pPr>
      <w:r>
        <w:t>[4</w:t>
      </w:r>
      <w:r w:rsidR="009E688C" w:rsidRPr="005661DE">
        <w:t>]</w:t>
      </w:r>
      <w:r w:rsidR="008A4BCA" w:rsidRPr="005661DE">
        <w:rPr>
          <w:rFonts w:hint="eastAsia"/>
        </w:rPr>
        <w:t xml:space="preserve"> </w:t>
      </w:r>
      <w:r w:rsidR="008A4BCA" w:rsidRPr="005661DE">
        <w:rPr>
          <w:rFonts w:hint="eastAsia"/>
        </w:rPr>
        <w:t>樊崇义：《关于认罪认罚中量刑建议的几个问题》，《法制日报》</w:t>
      </w:r>
      <w:r w:rsidR="008A4BCA" w:rsidRPr="005661DE">
        <w:t>2019</w:t>
      </w:r>
      <w:r w:rsidR="008A4BCA" w:rsidRPr="005661DE">
        <w:rPr>
          <w:rFonts w:hint="eastAsia"/>
        </w:rPr>
        <w:t>年</w:t>
      </w:r>
      <w:r w:rsidR="008A4BCA" w:rsidRPr="005661DE">
        <w:t>7</w:t>
      </w:r>
      <w:r w:rsidR="008A4BCA" w:rsidRPr="005661DE">
        <w:rPr>
          <w:rFonts w:hint="eastAsia"/>
        </w:rPr>
        <w:t>月</w:t>
      </w:r>
      <w:r w:rsidR="008A4BCA" w:rsidRPr="005661DE">
        <w:t>15</w:t>
      </w:r>
      <w:r w:rsidR="008A4BCA" w:rsidRPr="005661DE">
        <w:rPr>
          <w:rFonts w:hint="eastAsia"/>
        </w:rPr>
        <w:t>日</w:t>
      </w:r>
      <w:r w:rsidR="00244D89">
        <w:rPr>
          <w:rFonts w:hint="eastAsia"/>
        </w:rPr>
        <w:t>，</w:t>
      </w:r>
      <w:r w:rsidR="008A4BCA" w:rsidRPr="005661DE">
        <w:rPr>
          <w:rFonts w:hint="eastAsia"/>
        </w:rPr>
        <w:t>第</w:t>
      </w:r>
      <w:r w:rsidR="008A4BCA" w:rsidRPr="005661DE">
        <w:t>3</w:t>
      </w:r>
      <w:r w:rsidR="008A4BCA" w:rsidRPr="005661DE">
        <w:rPr>
          <w:rFonts w:hint="eastAsia"/>
        </w:rPr>
        <w:t>版。</w:t>
      </w:r>
    </w:p>
    <w:p w14:paraId="45E06974" w14:textId="5A674A3A" w:rsidR="009E688C" w:rsidRPr="005661DE" w:rsidRDefault="002F05E2" w:rsidP="00B717BB">
      <w:pPr>
        <w:snapToGrid w:val="0"/>
        <w:spacing w:line="300" w:lineRule="auto"/>
      </w:pPr>
      <w:r>
        <w:t>[5</w:t>
      </w:r>
      <w:r w:rsidR="009E688C" w:rsidRPr="005661DE">
        <w:t>]</w:t>
      </w:r>
      <w:r w:rsidR="008A4BCA" w:rsidRPr="005661DE">
        <w:rPr>
          <w:rFonts w:hint="eastAsia"/>
        </w:rPr>
        <w:t xml:space="preserve"> </w:t>
      </w:r>
      <w:r w:rsidR="008A4BCA" w:rsidRPr="005661DE">
        <w:rPr>
          <w:rFonts w:hint="eastAsia"/>
        </w:rPr>
        <w:t>丁红兵、钱堃：《以量刑阐释为抓手提神认罪认罚适用水平》，《检察日报》</w:t>
      </w:r>
      <w:r w:rsidR="008A4BCA" w:rsidRPr="005661DE">
        <w:t>2019</w:t>
      </w:r>
      <w:r w:rsidR="008A4BCA" w:rsidRPr="005661DE">
        <w:rPr>
          <w:rFonts w:hint="eastAsia"/>
        </w:rPr>
        <w:t>年</w:t>
      </w:r>
      <w:r w:rsidR="008A4BCA" w:rsidRPr="005661DE">
        <w:t>8</w:t>
      </w:r>
      <w:r w:rsidR="008A4BCA" w:rsidRPr="005661DE">
        <w:rPr>
          <w:rFonts w:hint="eastAsia"/>
        </w:rPr>
        <w:t>月</w:t>
      </w:r>
      <w:r w:rsidR="008A4BCA" w:rsidRPr="005661DE">
        <w:t>4</w:t>
      </w:r>
      <w:r w:rsidR="008A4BCA" w:rsidRPr="005661DE">
        <w:rPr>
          <w:rFonts w:hint="eastAsia"/>
        </w:rPr>
        <w:t>日</w:t>
      </w:r>
      <w:r w:rsidR="00244D89">
        <w:rPr>
          <w:rFonts w:hint="eastAsia"/>
        </w:rPr>
        <w:t>，</w:t>
      </w:r>
      <w:r w:rsidR="008A4BCA" w:rsidRPr="005661DE">
        <w:rPr>
          <w:rFonts w:hint="eastAsia"/>
        </w:rPr>
        <w:t>第</w:t>
      </w:r>
      <w:r w:rsidR="008A4BCA" w:rsidRPr="005661DE">
        <w:t>3</w:t>
      </w:r>
      <w:r w:rsidR="008A4BCA" w:rsidRPr="005661DE">
        <w:rPr>
          <w:rFonts w:hint="eastAsia"/>
        </w:rPr>
        <w:t>版。</w:t>
      </w:r>
    </w:p>
    <w:p w14:paraId="4D3A6BEB" w14:textId="47977E5E" w:rsidR="009E688C" w:rsidRPr="005661DE" w:rsidRDefault="002F05E2" w:rsidP="00B717BB">
      <w:pPr>
        <w:snapToGrid w:val="0"/>
        <w:spacing w:line="300" w:lineRule="auto"/>
      </w:pPr>
      <w:r>
        <w:t>[6</w:t>
      </w:r>
      <w:r w:rsidR="009E688C" w:rsidRPr="005661DE">
        <w:t>]</w:t>
      </w:r>
      <w:r w:rsidR="008A4BCA" w:rsidRPr="005661DE">
        <w:rPr>
          <w:rFonts w:hint="eastAsia"/>
        </w:rPr>
        <w:t xml:space="preserve"> </w:t>
      </w:r>
      <w:r w:rsidR="008A4BCA" w:rsidRPr="005661DE">
        <w:rPr>
          <w:rFonts w:hint="eastAsia"/>
        </w:rPr>
        <w:t>胡云腾：《正确把握认罪认罚从宽，保证严格公正高效司法》，《人民法院报》</w:t>
      </w:r>
      <w:r w:rsidR="008A4BCA" w:rsidRPr="005661DE">
        <w:t>2019</w:t>
      </w:r>
      <w:r w:rsidR="008A4BCA" w:rsidRPr="005661DE">
        <w:rPr>
          <w:rFonts w:hint="eastAsia"/>
        </w:rPr>
        <w:t>年</w:t>
      </w:r>
      <w:r w:rsidR="008A4BCA" w:rsidRPr="005661DE">
        <w:t>10</w:t>
      </w:r>
      <w:r w:rsidR="008A4BCA" w:rsidRPr="005661DE">
        <w:rPr>
          <w:rFonts w:hint="eastAsia"/>
        </w:rPr>
        <w:t>月</w:t>
      </w:r>
      <w:r w:rsidR="008A4BCA" w:rsidRPr="005661DE">
        <w:t>24</w:t>
      </w:r>
      <w:r w:rsidR="008A4BCA" w:rsidRPr="005661DE">
        <w:rPr>
          <w:rFonts w:hint="eastAsia"/>
        </w:rPr>
        <w:t>日</w:t>
      </w:r>
      <w:r w:rsidR="00244D89">
        <w:rPr>
          <w:rFonts w:hint="eastAsia"/>
        </w:rPr>
        <w:t>，</w:t>
      </w:r>
      <w:r w:rsidR="008A4BCA" w:rsidRPr="005661DE">
        <w:rPr>
          <w:rFonts w:hint="eastAsia"/>
        </w:rPr>
        <w:t>第</w:t>
      </w:r>
      <w:r w:rsidR="008A4BCA" w:rsidRPr="005661DE">
        <w:t>5</w:t>
      </w:r>
      <w:r w:rsidR="008A4BCA" w:rsidRPr="005661DE">
        <w:rPr>
          <w:rFonts w:hint="eastAsia"/>
        </w:rPr>
        <w:t>版。</w:t>
      </w:r>
    </w:p>
    <w:p w14:paraId="554AFBF9" w14:textId="19D7BA30" w:rsidR="009E688C" w:rsidRPr="005661DE" w:rsidRDefault="002F05E2" w:rsidP="00B717BB">
      <w:pPr>
        <w:snapToGrid w:val="0"/>
        <w:spacing w:line="300" w:lineRule="auto"/>
      </w:pPr>
      <w:r>
        <w:t>[7</w:t>
      </w:r>
      <w:r w:rsidR="009E688C" w:rsidRPr="005661DE">
        <w:t>]</w:t>
      </w:r>
      <w:r w:rsidR="008A4BCA" w:rsidRPr="005661DE">
        <w:rPr>
          <w:rFonts w:hint="eastAsia"/>
        </w:rPr>
        <w:t xml:space="preserve"> </w:t>
      </w:r>
      <w:r w:rsidR="008A4BCA" w:rsidRPr="005661DE">
        <w:rPr>
          <w:rFonts w:hint="eastAsia"/>
        </w:rPr>
        <w:t>奚哲涵：《美国辩诉交易中律师的庭审评估职能》，《人民法院报》</w:t>
      </w:r>
      <w:r w:rsidR="008A4BCA" w:rsidRPr="005661DE">
        <w:t>2019</w:t>
      </w:r>
      <w:r w:rsidR="008A4BCA" w:rsidRPr="005661DE">
        <w:rPr>
          <w:rFonts w:hint="eastAsia"/>
        </w:rPr>
        <w:t>年</w:t>
      </w:r>
      <w:r w:rsidR="008A4BCA" w:rsidRPr="005661DE">
        <w:t>11</w:t>
      </w:r>
      <w:r w:rsidR="008A4BCA" w:rsidRPr="005661DE">
        <w:rPr>
          <w:rFonts w:hint="eastAsia"/>
        </w:rPr>
        <w:t>月</w:t>
      </w:r>
      <w:r w:rsidR="008A4BCA" w:rsidRPr="005661DE">
        <w:t>22</w:t>
      </w:r>
      <w:r w:rsidR="008A4BCA" w:rsidRPr="005661DE">
        <w:rPr>
          <w:rFonts w:hint="eastAsia"/>
        </w:rPr>
        <w:t>日</w:t>
      </w:r>
      <w:r w:rsidR="00244D89">
        <w:rPr>
          <w:rFonts w:hint="eastAsia"/>
        </w:rPr>
        <w:t>，</w:t>
      </w:r>
      <w:r w:rsidR="008A4BCA" w:rsidRPr="005661DE">
        <w:rPr>
          <w:rFonts w:hint="eastAsia"/>
        </w:rPr>
        <w:t>第</w:t>
      </w:r>
      <w:r w:rsidR="008A4BCA" w:rsidRPr="005661DE">
        <w:t>8</w:t>
      </w:r>
      <w:r w:rsidR="008A4BCA" w:rsidRPr="005661DE">
        <w:rPr>
          <w:rFonts w:hint="eastAsia"/>
        </w:rPr>
        <w:t>版。</w:t>
      </w:r>
    </w:p>
    <w:p w14:paraId="38B164FC" w14:textId="040E7558" w:rsidR="009E688C" w:rsidRPr="005661DE" w:rsidRDefault="002F05E2" w:rsidP="00B717BB">
      <w:pPr>
        <w:snapToGrid w:val="0"/>
        <w:spacing w:line="300" w:lineRule="auto"/>
      </w:pPr>
      <w:r>
        <w:t>[8</w:t>
      </w:r>
      <w:r w:rsidR="009E688C" w:rsidRPr="005661DE">
        <w:t>]</w:t>
      </w:r>
      <w:r w:rsidR="008A4BCA" w:rsidRPr="005661DE">
        <w:rPr>
          <w:rFonts w:hint="eastAsia"/>
        </w:rPr>
        <w:t xml:space="preserve"> </w:t>
      </w:r>
      <w:r w:rsidR="008A4BCA" w:rsidRPr="005661DE">
        <w:rPr>
          <w:rFonts w:hint="eastAsia"/>
        </w:rPr>
        <w:t>罗庆东：《以精准化量刑建议落实认罪认罚从宽》，《检察日报》</w:t>
      </w:r>
      <w:r w:rsidR="008A4BCA" w:rsidRPr="005661DE">
        <w:t>2020</w:t>
      </w:r>
      <w:r w:rsidR="008A4BCA" w:rsidRPr="005661DE">
        <w:rPr>
          <w:rFonts w:hint="eastAsia"/>
        </w:rPr>
        <w:t>年</w:t>
      </w:r>
      <w:r w:rsidR="008A4BCA" w:rsidRPr="005661DE">
        <w:t>2</w:t>
      </w:r>
      <w:r w:rsidR="008A4BCA" w:rsidRPr="005661DE">
        <w:rPr>
          <w:rFonts w:hint="eastAsia"/>
        </w:rPr>
        <w:t>月</w:t>
      </w:r>
      <w:r w:rsidR="008A4BCA" w:rsidRPr="005661DE">
        <w:t>10</w:t>
      </w:r>
      <w:r w:rsidR="008A4BCA" w:rsidRPr="005661DE">
        <w:rPr>
          <w:rFonts w:hint="eastAsia"/>
        </w:rPr>
        <w:t>日</w:t>
      </w:r>
      <w:r w:rsidR="00244D89">
        <w:rPr>
          <w:rFonts w:hint="eastAsia"/>
        </w:rPr>
        <w:t>，</w:t>
      </w:r>
      <w:r w:rsidR="008A4BCA" w:rsidRPr="005661DE">
        <w:rPr>
          <w:rFonts w:hint="eastAsia"/>
        </w:rPr>
        <w:t>第</w:t>
      </w:r>
      <w:r w:rsidR="008A4BCA" w:rsidRPr="005661DE">
        <w:t>3</w:t>
      </w:r>
      <w:r w:rsidR="008A4BCA" w:rsidRPr="005661DE">
        <w:rPr>
          <w:rFonts w:hint="eastAsia"/>
        </w:rPr>
        <w:t>版。</w:t>
      </w:r>
    </w:p>
    <w:p w14:paraId="087BF61C" w14:textId="77777777" w:rsidR="004A1875" w:rsidRDefault="004A1875" w:rsidP="00B717BB">
      <w:pPr>
        <w:snapToGrid w:val="0"/>
        <w:spacing w:line="300" w:lineRule="auto"/>
        <w:ind w:firstLine="0"/>
        <w:sectPr w:rsidR="004A1875" w:rsidSect="004A1875">
          <w:pgSz w:w="11900" w:h="16840"/>
          <w:pgMar w:top="1440" w:right="1800" w:bottom="1440" w:left="1800" w:header="851" w:footer="992" w:gutter="0"/>
          <w:cols w:space="425"/>
          <w:docGrid w:type="lines" w:linePitch="423"/>
        </w:sectPr>
      </w:pPr>
    </w:p>
    <w:p w14:paraId="169D4C7E" w14:textId="77777777" w:rsidR="009E688C" w:rsidRDefault="009E688C" w:rsidP="00B717BB">
      <w:pPr>
        <w:pStyle w:val="1"/>
        <w:snapToGrid w:val="0"/>
      </w:pPr>
      <w:bookmarkStart w:id="68" w:name="_Toc36842068"/>
      <w:bookmarkStart w:id="69" w:name="_Toc36844740"/>
      <w:r w:rsidRPr="005661DE">
        <w:rPr>
          <w:rFonts w:hint="eastAsia"/>
        </w:rPr>
        <w:lastRenderedPageBreak/>
        <w:t>致</w:t>
      </w:r>
      <w:r w:rsidR="00576C7D" w:rsidRPr="005661DE">
        <w:rPr>
          <w:rFonts w:hint="eastAsia"/>
        </w:rPr>
        <w:t xml:space="preserve">  </w:t>
      </w:r>
      <w:r w:rsidRPr="005661DE">
        <w:rPr>
          <w:rFonts w:hint="eastAsia"/>
        </w:rPr>
        <w:t>谢</w:t>
      </w:r>
      <w:bookmarkEnd w:id="68"/>
      <w:bookmarkEnd w:id="69"/>
    </w:p>
    <w:p w14:paraId="2B8C39B8" w14:textId="77777777" w:rsidR="00BC276B" w:rsidRPr="00BC276B" w:rsidRDefault="00BC276B" w:rsidP="00B717BB">
      <w:pPr>
        <w:spacing w:line="300" w:lineRule="auto"/>
      </w:pPr>
    </w:p>
    <w:p w14:paraId="3D8F074F" w14:textId="77777777" w:rsidR="003C7600" w:rsidRDefault="003C7600" w:rsidP="00B717BB">
      <w:pPr>
        <w:spacing w:line="300" w:lineRule="auto"/>
        <w:ind w:firstLine="0"/>
      </w:pPr>
      <w:r>
        <w:rPr>
          <w:rFonts w:hint="eastAsia"/>
        </w:rPr>
        <w:t xml:space="preserve">    </w:t>
      </w:r>
      <w:r>
        <w:rPr>
          <w:rFonts w:cs="宋体" w:hint="eastAsia"/>
        </w:rPr>
        <w:t>首先感谢在研究生期间遇到的所有用爱育人的老师们，感谢他们对我学习上的指导和生活中的帮助，是他们的付出让我拥有了一段珍贵的研究生生涯。特别感谢我的导师，张兆松教授。</w:t>
      </w:r>
      <w:r>
        <w:rPr>
          <w:rFonts w:ascii="宋体" w:hAnsi="宋体" w:cs="宋体" w:hint="eastAsia"/>
        </w:rPr>
        <w:t>张老师是一位严谨善于思考的学者，也是个温和耐心的</w:t>
      </w:r>
      <w:r w:rsidR="0095142C">
        <w:rPr>
          <w:rFonts w:ascii="宋体" w:hAnsi="宋体" w:cs="宋体" w:hint="eastAsia"/>
        </w:rPr>
        <w:t>良师益友。他总是为我们提供很多锻炼写作和参与会议的机会，</w:t>
      </w:r>
      <w:r w:rsidR="00175929">
        <w:rPr>
          <w:rFonts w:ascii="宋体" w:hAnsi="宋体" w:cs="宋体" w:hint="eastAsia"/>
        </w:rPr>
        <w:t>我</w:t>
      </w:r>
      <w:r w:rsidR="0095142C">
        <w:rPr>
          <w:rFonts w:ascii="宋体" w:hAnsi="宋体" w:cs="宋体" w:hint="eastAsia"/>
        </w:rPr>
        <w:t>们</w:t>
      </w:r>
      <w:r>
        <w:rPr>
          <w:rFonts w:ascii="宋体" w:hAnsi="宋体" w:cs="宋体" w:hint="eastAsia"/>
        </w:rPr>
        <w:t>每一篇上交的论文，每一稿一字一句他总是极其认真的批改。毕业论文从选题、资料收集、结构分析、逻辑梳理到最终的定稿，张老师给予了我极大的帮助，同时他又给予我最大的信任，也最大程度地锻炼了我的写作能力。张老师严谨求真的学术态度将一直影响着我，敦促我在今后的学习工作中踏实</w:t>
      </w:r>
      <w:r w:rsidR="0095142C">
        <w:rPr>
          <w:rFonts w:ascii="宋体" w:hAnsi="宋体" w:cs="宋体" w:hint="eastAsia"/>
        </w:rPr>
        <w:t>、</w:t>
      </w:r>
      <w:r>
        <w:rPr>
          <w:rFonts w:ascii="宋体" w:hAnsi="宋体" w:cs="宋体" w:hint="eastAsia"/>
        </w:rPr>
        <w:t>务实地做好每一件小事。</w:t>
      </w:r>
      <w:r>
        <w:rPr>
          <w:rFonts w:cs="宋体" w:hint="eastAsia"/>
        </w:rPr>
        <w:t>另外还要特</w:t>
      </w:r>
      <w:r w:rsidR="0095142C">
        <w:rPr>
          <w:rFonts w:cs="宋体" w:hint="eastAsia"/>
        </w:rPr>
        <w:t>别感谢我的家人和朋友，是他们的鼓励和支持陪伴我度过三年美好的时光</w:t>
      </w:r>
      <w:r>
        <w:rPr>
          <w:rFonts w:cs="宋体" w:hint="eastAsia"/>
        </w:rPr>
        <w:t>。最后，则要感谢各位论文评审的老师，感谢你们的真诚建议与悉心指点，未来的道路上我将更加严格要求自己。</w:t>
      </w:r>
    </w:p>
    <w:p w14:paraId="331835C5" w14:textId="77777777" w:rsidR="003C7600" w:rsidRPr="00F4375E" w:rsidRDefault="003C7600" w:rsidP="00B717BB">
      <w:pPr>
        <w:spacing w:line="300" w:lineRule="auto"/>
        <w:ind w:firstLine="0"/>
      </w:pPr>
    </w:p>
    <w:p w14:paraId="42D398C3" w14:textId="77777777" w:rsidR="004A1875" w:rsidRDefault="004A1875" w:rsidP="004A1875">
      <w:pPr>
        <w:snapToGrid w:val="0"/>
        <w:ind w:firstLine="0"/>
        <w:sectPr w:rsidR="004A1875" w:rsidSect="004A1875">
          <w:pgSz w:w="11900" w:h="16840"/>
          <w:pgMar w:top="1440" w:right="1800" w:bottom="1440" w:left="1800" w:header="851" w:footer="992" w:gutter="0"/>
          <w:cols w:space="425"/>
          <w:docGrid w:type="lines" w:linePitch="423"/>
        </w:sectPr>
      </w:pPr>
    </w:p>
    <w:p w14:paraId="4A9854A5" w14:textId="77777777" w:rsidR="009E688C" w:rsidRPr="005661DE" w:rsidRDefault="009E688C" w:rsidP="006342E7">
      <w:pPr>
        <w:pStyle w:val="1"/>
      </w:pPr>
      <w:bookmarkStart w:id="70" w:name="_Toc36842069"/>
      <w:bookmarkStart w:id="71" w:name="_Toc36844741"/>
      <w:r w:rsidRPr="005661DE">
        <w:rPr>
          <w:rFonts w:hint="eastAsia"/>
        </w:rPr>
        <w:lastRenderedPageBreak/>
        <w:t>攻读学位期间发表的学术成果</w:t>
      </w:r>
      <w:bookmarkEnd w:id="70"/>
      <w:bookmarkEnd w:id="71"/>
    </w:p>
    <w:p w14:paraId="50F415AF" w14:textId="77777777" w:rsidR="00576C7D" w:rsidRPr="005661DE" w:rsidRDefault="00576C7D" w:rsidP="008C2522">
      <w:pPr>
        <w:snapToGrid w:val="0"/>
        <w:spacing w:line="300" w:lineRule="auto"/>
        <w:ind w:left="420" w:firstLine="0"/>
      </w:pPr>
    </w:p>
    <w:p w14:paraId="3EF0A8F3" w14:textId="77777777" w:rsidR="009E688C" w:rsidRPr="005661DE" w:rsidRDefault="009E688C" w:rsidP="008C2522">
      <w:pPr>
        <w:snapToGrid w:val="0"/>
        <w:spacing w:line="300" w:lineRule="auto"/>
      </w:pPr>
      <w:r w:rsidRPr="005661DE">
        <w:t xml:space="preserve">[1] </w:t>
      </w:r>
      <w:r w:rsidR="003C7600">
        <w:rPr>
          <w:rFonts w:cs="宋体" w:hint="eastAsia"/>
        </w:rPr>
        <w:t>张兆松、赵越</w:t>
      </w:r>
      <w:r w:rsidRPr="005661DE">
        <w:rPr>
          <w:rFonts w:hint="eastAsia"/>
        </w:rPr>
        <w:t>：《论我国贪贿犯罪预防政策的调整：从刑罚的严厉性走向刑罚的确定性》，载严励、岳平主编：《犯罪学论坛》，中国法制出版社</w:t>
      </w:r>
      <w:r w:rsidRPr="005661DE">
        <w:t>2018</w:t>
      </w:r>
      <w:r w:rsidRPr="005661DE">
        <w:rPr>
          <w:rFonts w:hint="eastAsia"/>
        </w:rPr>
        <w:t>年版，第</w:t>
      </w:r>
      <w:r w:rsidR="00C93E1E" w:rsidRPr="005661DE">
        <w:t>75—</w:t>
      </w:r>
      <w:r w:rsidRPr="005661DE">
        <w:t>95</w:t>
      </w:r>
      <w:r w:rsidRPr="005661DE">
        <w:rPr>
          <w:rFonts w:hint="eastAsia"/>
        </w:rPr>
        <w:t>页。</w:t>
      </w:r>
    </w:p>
    <w:p w14:paraId="318E4BF8" w14:textId="77777777" w:rsidR="009E688C" w:rsidRPr="005661DE" w:rsidRDefault="009E688C" w:rsidP="005661DE">
      <w:pPr>
        <w:snapToGrid w:val="0"/>
        <w:spacing w:line="300" w:lineRule="auto"/>
      </w:pPr>
    </w:p>
    <w:sectPr w:rsidR="009E688C" w:rsidRPr="005661DE" w:rsidSect="004A1875">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CDA0A" w14:textId="77777777" w:rsidR="004A7CBD" w:rsidRDefault="004A7CBD" w:rsidP="00C33937">
      <w:r>
        <w:separator/>
      </w:r>
    </w:p>
  </w:endnote>
  <w:endnote w:type="continuationSeparator" w:id="0">
    <w:p w14:paraId="4DBBB3CF" w14:textId="77777777" w:rsidR="004A7CBD" w:rsidRDefault="004A7CBD" w:rsidP="00C3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KaiTi">
    <w:altName w:val="Arial Unicode MS"/>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E67E8" w14:textId="77777777" w:rsidR="002513C6" w:rsidRPr="00AA71FE" w:rsidRDefault="002513C6" w:rsidP="002C60AA">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60085" w14:textId="77777777" w:rsidR="002513C6" w:rsidRDefault="002513C6">
    <w:pPr>
      <w:pStyle w:val="ae"/>
      <w:jc w:val="center"/>
    </w:pPr>
  </w:p>
  <w:p w14:paraId="4E4EBECA" w14:textId="77777777" w:rsidR="002513C6" w:rsidRDefault="002513C6">
    <w:pPr>
      <w:pStyle w:val="ae"/>
    </w:pPr>
  </w:p>
  <w:p w14:paraId="3DFA285F" w14:textId="77777777" w:rsidR="002513C6" w:rsidRDefault="002513C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B3B0A" w14:textId="77777777" w:rsidR="002513C6" w:rsidRDefault="002513C6">
    <w:pPr>
      <w:pStyle w:val="ae"/>
      <w:jc w:val="center"/>
    </w:pPr>
    <w:r>
      <w:fldChar w:fldCharType="begin"/>
    </w:r>
    <w:r>
      <w:instrText>PAGE   \* MERGEFORMAT</w:instrText>
    </w:r>
    <w:r>
      <w:fldChar w:fldCharType="separate"/>
    </w:r>
    <w:r w:rsidR="00B6208F" w:rsidRPr="00B6208F">
      <w:rPr>
        <w:noProof/>
        <w:lang w:val="zh-CN"/>
      </w:rPr>
      <w:t>1</w:t>
    </w:r>
    <w:r>
      <w:fldChar w:fldCharType="end"/>
    </w:r>
  </w:p>
  <w:p w14:paraId="5DA4A63A" w14:textId="77777777" w:rsidR="002513C6" w:rsidRDefault="002513C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CA191" w14:textId="77777777" w:rsidR="004A7CBD" w:rsidRDefault="004A7CBD" w:rsidP="007304A3">
      <w:pPr>
        <w:ind w:firstLine="0"/>
      </w:pPr>
      <w:r>
        <w:separator/>
      </w:r>
    </w:p>
  </w:footnote>
  <w:footnote w:type="continuationSeparator" w:id="0">
    <w:p w14:paraId="151B56AA" w14:textId="77777777" w:rsidR="004A7CBD" w:rsidRDefault="004A7CBD" w:rsidP="00C33937">
      <w:r>
        <w:continuationSeparator/>
      </w:r>
    </w:p>
  </w:footnote>
  <w:footnote w:id="1">
    <w:p w14:paraId="6B83814C" w14:textId="64E9AD2B"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陈瑞华：《论量刑建议》，《政法论坛》</w:t>
      </w:r>
      <w:r>
        <w:t>2011</w:t>
      </w:r>
      <w:r>
        <w:rPr>
          <w:rFonts w:cs="宋体" w:hint="eastAsia"/>
        </w:rPr>
        <w:t>年第</w:t>
      </w:r>
      <w:r>
        <w:t>2</w:t>
      </w:r>
      <w:r>
        <w:rPr>
          <w:rFonts w:cs="宋体" w:hint="eastAsia"/>
        </w:rPr>
        <w:t>期，第</w:t>
      </w:r>
      <w:r>
        <w:rPr>
          <w:rFonts w:cs="宋体" w:hint="eastAsia"/>
        </w:rPr>
        <w:t>5</w:t>
      </w:r>
      <w:r>
        <w:rPr>
          <w:rFonts w:cs="宋体" w:hint="eastAsia"/>
        </w:rPr>
        <w:t>页。</w:t>
      </w:r>
    </w:p>
  </w:footnote>
  <w:footnote w:id="2">
    <w:p w14:paraId="2F0430DA" w14:textId="77777777" w:rsidR="002513C6" w:rsidRDefault="002513C6" w:rsidP="006146D6">
      <w:pPr>
        <w:pStyle w:val="a3"/>
        <w:spacing w:line="240" w:lineRule="auto"/>
        <w:ind w:firstLine="0"/>
      </w:pPr>
      <w:r>
        <w:rPr>
          <w:rStyle w:val="a5"/>
        </w:rPr>
        <w:footnoteRef/>
      </w:r>
      <w:r>
        <w:rPr>
          <w:rFonts w:cs="宋体" w:hint="eastAsia"/>
        </w:rPr>
        <w:t xml:space="preserve"> </w:t>
      </w:r>
      <w:r w:rsidRPr="001C6C3F">
        <w:rPr>
          <w:rFonts w:cs="宋体" w:hint="eastAsia"/>
        </w:rPr>
        <w:t>胡卫列、董桂文、韩大元：《认罪认罚从宽制度的理论与实践》，中国检察出版社</w:t>
      </w:r>
      <w:r w:rsidRPr="001C6C3F">
        <w:t>2017</w:t>
      </w:r>
      <w:r>
        <w:rPr>
          <w:rFonts w:cs="宋体" w:hint="eastAsia"/>
        </w:rPr>
        <w:t>年版，第</w:t>
      </w:r>
      <w:r w:rsidRPr="001C6C3F">
        <w:t>494</w:t>
      </w:r>
      <w:r w:rsidRPr="001C6C3F">
        <w:rPr>
          <w:rFonts w:cs="宋体" w:hint="eastAsia"/>
        </w:rPr>
        <w:t>页</w:t>
      </w:r>
      <w:r>
        <w:rPr>
          <w:rFonts w:cs="宋体" w:hint="eastAsia"/>
        </w:rPr>
        <w:t>。</w:t>
      </w:r>
    </w:p>
  </w:footnote>
  <w:footnote w:id="3">
    <w:p w14:paraId="4ED2F8EE" w14:textId="77777777"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潘申明、刘浪、周耀凤：《量刑建议前沿理论与实战技能》，中国检察出版</w:t>
      </w:r>
      <w:r>
        <w:t>2016</w:t>
      </w:r>
      <w:r>
        <w:rPr>
          <w:rFonts w:cs="宋体" w:hint="eastAsia"/>
        </w:rPr>
        <w:t>年版，第</w:t>
      </w:r>
      <w:r>
        <w:t>121—130</w:t>
      </w:r>
      <w:r>
        <w:rPr>
          <w:rFonts w:cs="宋体" w:hint="eastAsia"/>
        </w:rPr>
        <w:t>页。</w:t>
      </w:r>
    </w:p>
  </w:footnote>
  <w:footnote w:id="4">
    <w:p w14:paraId="0EA4A538" w14:textId="056015D0" w:rsidR="002513C6" w:rsidRPr="004A4149" w:rsidRDefault="002513C6" w:rsidP="006146D6">
      <w:pPr>
        <w:pStyle w:val="a3"/>
        <w:spacing w:line="240" w:lineRule="auto"/>
        <w:ind w:firstLine="0"/>
        <w:rPr>
          <w:b/>
          <w:bCs/>
          <w:color w:val="FF0000"/>
        </w:rPr>
      </w:pPr>
      <w:r>
        <w:rPr>
          <w:rStyle w:val="a5"/>
        </w:rPr>
        <w:footnoteRef/>
      </w:r>
      <w:r>
        <w:rPr>
          <w:rFonts w:cs="宋体" w:hint="eastAsia"/>
        </w:rPr>
        <w:t xml:space="preserve"> </w:t>
      </w:r>
      <w:r>
        <w:rPr>
          <w:rFonts w:cs="宋体" w:hint="eastAsia"/>
        </w:rPr>
        <w:t>卞建林：《认罪认罚从宽制度赋予量刑建议全新内容》，《检察日报》</w:t>
      </w:r>
      <w:r>
        <w:t>2019</w:t>
      </w:r>
      <w:r>
        <w:rPr>
          <w:rFonts w:cs="宋体" w:hint="eastAsia"/>
        </w:rPr>
        <w:t>年</w:t>
      </w:r>
      <w:r>
        <w:t>7</w:t>
      </w:r>
      <w:r>
        <w:rPr>
          <w:rFonts w:cs="宋体" w:hint="eastAsia"/>
        </w:rPr>
        <w:t>月</w:t>
      </w:r>
      <w:r>
        <w:t>29</w:t>
      </w:r>
      <w:r>
        <w:rPr>
          <w:rFonts w:cs="宋体" w:hint="eastAsia"/>
        </w:rPr>
        <w:t>日</w:t>
      </w:r>
      <w:r w:rsidR="00BB3EB0">
        <w:rPr>
          <w:rFonts w:cs="宋体" w:hint="eastAsia"/>
        </w:rPr>
        <w:t>，</w:t>
      </w:r>
      <w:r>
        <w:rPr>
          <w:rFonts w:cs="宋体" w:hint="eastAsia"/>
        </w:rPr>
        <w:t>第</w:t>
      </w:r>
      <w:r>
        <w:t>3</w:t>
      </w:r>
      <w:r>
        <w:rPr>
          <w:rFonts w:cs="宋体" w:hint="eastAsia"/>
        </w:rPr>
        <w:t>版。</w:t>
      </w:r>
    </w:p>
  </w:footnote>
  <w:footnote w:id="5">
    <w:p w14:paraId="5D631841" w14:textId="114770EA" w:rsidR="002513C6" w:rsidRPr="004A4149" w:rsidRDefault="002513C6" w:rsidP="006146D6">
      <w:pPr>
        <w:pStyle w:val="a3"/>
        <w:keepLines/>
        <w:spacing w:line="240" w:lineRule="auto"/>
        <w:ind w:firstLine="0"/>
        <w:rPr>
          <w:sz w:val="24"/>
          <w:szCs w:val="24"/>
        </w:rPr>
      </w:pPr>
      <w:r>
        <w:rPr>
          <w:rStyle w:val="a5"/>
        </w:rPr>
        <w:footnoteRef/>
      </w:r>
      <w:r>
        <w:rPr>
          <w:rFonts w:cs="宋体" w:hint="eastAsia"/>
        </w:rPr>
        <w:t xml:space="preserve"> </w:t>
      </w:r>
      <w:r w:rsidRPr="00E5573C">
        <w:rPr>
          <w:rFonts w:cs="宋体" w:hint="eastAsia"/>
        </w:rPr>
        <w:t>周强</w:t>
      </w:r>
      <w:r>
        <w:rPr>
          <w:rFonts w:cs="宋体" w:hint="eastAsia"/>
        </w:rPr>
        <w:t>：《</w:t>
      </w:r>
      <w:r w:rsidRPr="00E5573C">
        <w:rPr>
          <w:rFonts w:cs="宋体" w:hint="eastAsia"/>
        </w:rPr>
        <w:t>最高人民法院、最高人民检察院关于在部分地区开展刑事案件认罪认罚从宽试点工作情况的中期报告</w:t>
      </w:r>
      <w:r>
        <w:rPr>
          <w:rFonts w:cs="宋体" w:hint="eastAsia"/>
        </w:rPr>
        <w:t>》</w:t>
      </w:r>
      <w:r w:rsidRPr="00E5573C">
        <w:rPr>
          <w:rFonts w:cs="宋体" w:hint="eastAsia"/>
        </w:rPr>
        <w:t>，《中华人民共</w:t>
      </w:r>
      <w:r>
        <w:rPr>
          <w:rFonts w:cs="宋体" w:hint="eastAsia"/>
        </w:rPr>
        <w:t>和国全国人民代表大会常务委员会公报》</w:t>
      </w:r>
      <w:r>
        <w:t>2018</w:t>
      </w:r>
      <w:r>
        <w:rPr>
          <w:rFonts w:cs="宋体" w:hint="eastAsia"/>
        </w:rPr>
        <w:t>年第</w:t>
      </w:r>
      <w:r>
        <w:t>1</w:t>
      </w:r>
      <w:r>
        <w:rPr>
          <w:rFonts w:cs="宋体" w:hint="eastAsia"/>
        </w:rPr>
        <w:t>期</w:t>
      </w:r>
      <w:r w:rsidR="00A45336">
        <w:rPr>
          <w:rFonts w:cs="宋体" w:hint="eastAsia"/>
        </w:rPr>
        <w:t>，第</w:t>
      </w:r>
      <w:r w:rsidR="00A45336">
        <w:rPr>
          <w:rFonts w:cs="宋体" w:hint="eastAsia"/>
        </w:rPr>
        <w:t>10</w:t>
      </w:r>
      <w:r w:rsidR="00A45336">
        <w:rPr>
          <w:rFonts w:cs="宋体" w:hint="eastAsia"/>
        </w:rPr>
        <w:t>页</w:t>
      </w:r>
      <w:r>
        <w:rPr>
          <w:rFonts w:cs="宋体" w:hint="eastAsia"/>
        </w:rPr>
        <w:t>。</w:t>
      </w:r>
    </w:p>
  </w:footnote>
  <w:footnote w:id="6">
    <w:p w14:paraId="3DA65752" w14:textId="46926AF9" w:rsidR="002513C6" w:rsidRDefault="002513C6" w:rsidP="006146D6">
      <w:pPr>
        <w:pStyle w:val="a3"/>
        <w:keepLines/>
        <w:spacing w:line="240" w:lineRule="auto"/>
        <w:ind w:firstLine="0"/>
      </w:pPr>
      <w:r>
        <w:rPr>
          <w:rStyle w:val="a5"/>
        </w:rPr>
        <w:footnoteRef/>
      </w:r>
      <w:r>
        <w:rPr>
          <w:rFonts w:cs="宋体" w:hint="eastAsia"/>
        </w:rPr>
        <w:t xml:space="preserve"> </w:t>
      </w:r>
      <w:r>
        <w:rPr>
          <w:rFonts w:cs="宋体" w:hint="eastAsia"/>
        </w:rPr>
        <w:t>张一琪：《案件处理质效提升，制度设计日趋完善</w:t>
      </w:r>
      <w:r>
        <w:t>——</w:t>
      </w:r>
      <w:r>
        <w:rPr>
          <w:rFonts w:cs="宋体" w:hint="eastAsia"/>
        </w:rPr>
        <w:t>“认罪认罚从宽”试点效果不错》，《人民日报（海外版）》</w:t>
      </w:r>
      <w:r>
        <w:t>2018</w:t>
      </w:r>
      <w:r>
        <w:rPr>
          <w:rFonts w:cs="宋体" w:hint="eastAsia"/>
        </w:rPr>
        <w:t>年</w:t>
      </w:r>
      <w:r>
        <w:t>2</w:t>
      </w:r>
      <w:r>
        <w:rPr>
          <w:rFonts w:cs="宋体" w:hint="eastAsia"/>
        </w:rPr>
        <w:t>月</w:t>
      </w:r>
      <w:r>
        <w:t>26</w:t>
      </w:r>
      <w:r>
        <w:rPr>
          <w:rFonts w:cs="宋体" w:hint="eastAsia"/>
        </w:rPr>
        <w:t>日</w:t>
      </w:r>
      <w:r w:rsidR="00BB3EB0">
        <w:rPr>
          <w:rFonts w:cs="宋体" w:hint="eastAsia"/>
        </w:rPr>
        <w:t>，</w:t>
      </w:r>
      <w:r>
        <w:rPr>
          <w:rFonts w:cs="宋体" w:hint="eastAsia"/>
        </w:rPr>
        <w:t>第</w:t>
      </w:r>
      <w:r>
        <w:t>2</w:t>
      </w:r>
      <w:r>
        <w:rPr>
          <w:rFonts w:cs="宋体" w:hint="eastAsia"/>
        </w:rPr>
        <w:t>版。</w:t>
      </w:r>
    </w:p>
  </w:footnote>
  <w:footnote w:id="7">
    <w:p w14:paraId="3170B93C" w14:textId="7A1EA9AC" w:rsidR="002513C6" w:rsidRDefault="002513C6" w:rsidP="006146D6">
      <w:pPr>
        <w:pStyle w:val="a3"/>
        <w:keepLines/>
        <w:spacing w:line="240" w:lineRule="auto"/>
        <w:ind w:firstLine="0"/>
      </w:pPr>
      <w:r>
        <w:rPr>
          <w:rStyle w:val="a5"/>
        </w:rPr>
        <w:footnoteRef/>
      </w:r>
      <w:r>
        <w:rPr>
          <w:rFonts w:cs="宋体" w:hint="eastAsia"/>
        </w:rPr>
        <w:t xml:space="preserve"> </w:t>
      </w:r>
      <w:r>
        <w:rPr>
          <w:rFonts w:cs="宋体" w:hint="eastAsia"/>
        </w:rPr>
        <w:t>张仁平、潘森林：《核心是宽，特色是快</w:t>
      </w:r>
      <w:r>
        <w:t>——</w:t>
      </w:r>
      <w:r>
        <w:rPr>
          <w:rFonts w:cs="宋体" w:hint="eastAsia"/>
        </w:rPr>
        <w:t>解读福建认罪认罚从宽制度试点工作经验》，《检察日报》</w:t>
      </w:r>
      <w:r>
        <w:t>2018</w:t>
      </w:r>
      <w:r>
        <w:rPr>
          <w:rFonts w:cs="宋体" w:hint="eastAsia"/>
        </w:rPr>
        <w:t>年</w:t>
      </w:r>
      <w:r>
        <w:t>7</w:t>
      </w:r>
      <w:r>
        <w:rPr>
          <w:rFonts w:cs="宋体" w:hint="eastAsia"/>
        </w:rPr>
        <w:t>月</w:t>
      </w:r>
      <w:r>
        <w:t>9</w:t>
      </w:r>
      <w:r>
        <w:rPr>
          <w:rFonts w:cs="宋体" w:hint="eastAsia"/>
        </w:rPr>
        <w:t>日</w:t>
      </w:r>
      <w:r w:rsidR="00BB3EB0">
        <w:rPr>
          <w:rFonts w:cs="宋体" w:hint="eastAsia"/>
        </w:rPr>
        <w:t>，</w:t>
      </w:r>
      <w:r>
        <w:rPr>
          <w:rFonts w:cs="宋体" w:hint="eastAsia"/>
        </w:rPr>
        <w:t>第</w:t>
      </w:r>
      <w:r>
        <w:t>2</w:t>
      </w:r>
      <w:r>
        <w:rPr>
          <w:rFonts w:cs="宋体" w:hint="eastAsia"/>
        </w:rPr>
        <w:t>版。</w:t>
      </w:r>
    </w:p>
  </w:footnote>
  <w:footnote w:id="8">
    <w:p w14:paraId="4C7F0179" w14:textId="203EC849" w:rsidR="002513C6" w:rsidRDefault="002513C6" w:rsidP="006146D6">
      <w:pPr>
        <w:pStyle w:val="a3"/>
        <w:keepLines/>
        <w:spacing w:line="240" w:lineRule="auto"/>
        <w:ind w:firstLine="0"/>
      </w:pPr>
      <w:r>
        <w:rPr>
          <w:rStyle w:val="a5"/>
        </w:rPr>
        <w:footnoteRef/>
      </w:r>
      <w:r>
        <w:rPr>
          <w:rFonts w:cs="宋体" w:hint="eastAsia"/>
        </w:rPr>
        <w:t xml:space="preserve"> </w:t>
      </w:r>
      <w:r>
        <w:rPr>
          <w:rFonts w:cs="宋体" w:hint="eastAsia"/>
        </w:rPr>
        <w:t>刘亚军、黄琰：《认罪认罚案件中量刑建议的审查》，《人民司法》</w:t>
      </w:r>
      <w:r>
        <w:t>2020</w:t>
      </w:r>
      <w:r>
        <w:rPr>
          <w:rFonts w:cs="宋体" w:hint="eastAsia"/>
        </w:rPr>
        <w:t>年第</w:t>
      </w:r>
      <w:r>
        <w:t>1</w:t>
      </w:r>
      <w:r>
        <w:rPr>
          <w:rFonts w:cs="宋体" w:hint="eastAsia"/>
        </w:rPr>
        <w:t>期，第</w:t>
      </w:r>
      <w:r>
        <w:rPr>
          <w:rFonts w:cs="宋体" w:hint="eastAsia"/>
        </w:rPr>
        <w:t>8</w:t>
      </w:r>
      <w:r>
        <w:rPr>
          <w:rFonts w:cs="宋体" w:hint="eastAsia"/>
        </w:rPr>
        <w:t>页。</w:t>
      </w:r>
    </w:p>
  </w:footnote>
  <w:footnote w:id="9">
    <w:p w14:paraId="3F684E28" w14:textId="3A569EFE" w:rsidR="002513C6" w:rsidRDefault="002513C6" w:rsidP="006146D6">
      <w:pPr>
        <w:pStyle w:val="a3"/>
        <w:spacing w:line="240" w:lineRule="auto"/>
        <w:ind w:firstLine="0"/>
      </w:pPr>
      <w:r>
        <w:rPr>
          <w:rStyle w:val="a5"/>
        </w:rPr>
        <w:footnoteRef/>
      </w:r>
      <w:r>
        <w:rPr>
          <w:rFonts w:cs="宋体" w:hint="eastAsia"/>
        </w:rPr>
        <w:t xml:space="preserve"> </w:t>
      </w:r>
      <w:r w:rsidRPr="007D3556">
        <w:rPr>
          <w:rFonts w:cs="宋体" w:hint="eastAsia"/>
        </w:rPr>
        <w:t>苗生明：《认罪认罚从宽制度适用的基本问题》，《中国刑事法杂志》</w:t>
      </w:r>
      <w:r w:rsidRPr="007D3556">
        <w:t>2019</w:t>
      </w:r>
      <w:r w:rsidRPr="007D3556">
        <w:rPr>
          <w:rFonts w:cs="宋体" w:hint="eastAsia"/>
        </w:rPr>
        <w:t>年第</w:t>
      </w:r>
      <w:r w:rsidRPr="007D3556">
        <w:t>6</w:t>
      </w:r>
      <w:r w:rsidRPr="007D3556">
        <w:rPr>
          <w:rFonts w:cs="宋体" w:hint="eastAsia"/>
        </w:rPr>
        <w:t>期</w:t>
      </w:r>
      <w:r>
        <w:rPr>
          <w:rFonts w:cs="宋体" w:hint="eastAsia"/>
        </w:rPr>
        <w:t>，第</w:t>
      </w:r>
      <w:r>
        <w:rPr>
          <w:rFonts w:cs="宋体" w:hint="eastAsia"/>
        </w:rPr>
        <w:t>5</w:t>
      </w:r>
      <w:r>
        <w:rPr>
          <w:rFonts w:cs="宋体" w:hint="eastAsia"/>
        </w:rPr>
        <w:t>－</w:t>
      </w:r>
      <w:r>
        <w:rPr>
          <w:rFonts w:cs="宋体" w:hint="eastAsia"/>
        </w:rPr>
        <w:t>6</w:t>
      </w:r>
      <w:r>
        <w:rPr>
          <w:rFonts w:cs="宋体" w:hint="eastAsia"/>
        </w:rPr>
        <w:t>页</w:t>
      </w:r>
      <w:r w:rsidRPr="007D3556">
        <w:rPr>
          <w:rFonts w:cs="宋体" w:hint="eastAsia"/>
        </w:rPr>
        <w:t>。</w:t>
      </w:r>
      <w:r>
        <w:t xml:space="preserve"> </w:t>
      </w:r>
    </w:p>
  </w:footnote>
  <w:footnote w:id="10">
    <w:p w14:paraId="1F8B2E26" w14:textId="2579BB03" w:rsidR="002513C6" w:rsidRDefault="002513C6" w:rsidP="006146D6">
      <w:pPr>
        <w:pStyle w:val="a3"/>
        <w:spacing w:line="240" w:lineRule="auto"/>
        <w:ind w:firstLine="0"/>
      </w:pPr>
      <w:r>
        <w:rPr>
          <w:rStyle w:val="a5"/>
        </w:rPr>
        <w:footnoteRef/>
      </w:r>
      <w:r>
        <w:rPr>
          <w:rFonts w:cs="宋体" w:hint="eastAsia"/>
        </w:rPr>
        <w:t xml:space="preserve"> </w:t>
      </w:r>
      <w:r w:rsidRPr="004A4CCF">
        <w:rPr>
          <w:rFonts w:cs="宋体" w:hint="eastAsia"/>
        </w:rPr>
        <w:t>闵春雷：《认罪认罚从宽制度的适用困境及理论反思》，《法学杂志》</w:t>
      </w:r>
      <w:r w:rsidRPr="004A4CCF">
        <w:t>2019</w:t>
      </w:r>
      <w:r w:rsidRPr="004A4CCF">
        <w:rPr>
          <w:rFonts w:cs="宋体" w:hint="eastAsia"/>
        </w:rPr>
        <w:t>年第</w:t>
      </w:r>
      <w:r w:rsidRPr="004A4CCF">
        <w:t>12</w:t>
      </w:r>
      <w:r w:rsidRPr="004A4CCF">
        <w:rPr>
          <w:rFonts w:cs="宋体" w:hint="eastAsia"/>
        </w:rPr>
        <w:t>期</w:t>
      </w:r>
      <w:r>
        <w:rPr>
          <w:rFonts w:cs="宋体" w:hint="eastAsia"/>
        </w:rPr>
        <w:t>，第</w:t>
      </w:r>
      <w:r>
        <w:rPr>
          <w:rFonts w:cs="宋体" w:hint="eastAsia"/>
        </w:rPr>
        <w:t>78</w:t>
      </w:r>
      <w:r>
        <w:rPr>
          <w:rFonts w:cs="宋体" w:hint="eastAsia"/>
        </w:rPr>
        <w:t>页</w:t>
      </w:r>
      <w:r w:rsidRPr="004A4CCF">
        <w:rPr>
          <w:rFonts w:cs="宋体" w:hint="eastAsia"/>
        </w:rPr>
        <w:t>。</w:t>
      </w:r>
      <w:r>
        <w:t xml:space="preserve"> </w:t>
      </w:r>
    </w:p>
  </w:footnote>
  <w:footnote w:id="11">
    <w:p w14:paraId="39762492" w14:textId="0B42AB83" w:rsidR="002513C6" w:rsidRDefault="002513C6" w:rsidP="006146D6">
      <w:pPr>
        <w:pStyle w:val="a3"/>
        <w:spacing w:line="240" w:lineRule="auto"/>
        <w:ind w:firstLine="0"/>
      </w:pPr>
      <w:r>
        <w:rPr>
          <w:rStyle w:val="a5"/>
        </w:rPr>
        <w:footnoteRef/>
      </w:r>
      <w:r>
        <w:rPr>
          <w:rFonts w:cs="宋体" w:hint="eastAsia"/>
        </w:rPr>
        <w:t xml:space="preserve"> </w:t>
      </w:r>
      <w:r w:rsidRPr="00501FC9">
        <w:rPr>
          <w:rFonts w:cs="宋体" w:hint="eastAsia"/>
        </w:rPr>
        <w:t>马静华、李科</w:t>
      </w:r>
      <w:r>
        <w:rPr>
          <w:rFonts w:cs="宋体" w:hint="eastAsia"/>
        </w:rPr>
        <w:t>：《新刑事诉讼法背景下认罪认罚从宽的程序模式》，《四川大学学报</w:t>
      </w:r>
      <w:r w:rsidRPr="00501FC9">
        <w:rPr>
          <w:rFonts w:cs="宋体" w:hint="eastAsia"/>
        </w:rPr>
        <w:t>（哲学社会科学版）</w:t>
      </w:r>
      <w:r>
        <w:rPr>
          <w:rFonts w:cs="宋体" w:hint="eastAsia"/>
        </w:rPr>
        <w:t>》</w:t>
      </w:r>
      <w:r w:rsidRPr="00501FC9">
        <w:t>2019</w:t>
      </w:r>
      <w:r w:rsidRPr="00501FC9">
        <w:rPr>
          <w:rFonts w:cs="宋体" w:hint="eastAsia"/>
        </w:rPr>
        <w:t>年第</w:t>
      </w:r>
      <w:r w:rsidRPr="00501FC9">
        <w:t>2</w:t>
      </w:r>
      <w:r w:rsidRPr="00501FC9">
        <w:rPr>
          <w:rFonts w:cs="宋体" w:hint="eastAsia"/>
        </w:rPr>
        <w:t>期</w:t>
      </w:r>
      <w:r>
        <w:rPr>
          <w:rFonts w:cs="宋体" w:hint="eastAsia"/>
        </w:rPr>
        <w:t>，第</w:t>
      </w:r>
      <w:r>
        <w:rPr>
          <w:rFonts w:cs="宋体" w:hint="eastAsia"/>
        </w:rPr>
        <w:t>45</w:t>
      </w:r>
      <w:r>
        <w:rPr>
          <w:rFonts w:cs="宋体" w:hint="eastAsia"/>
        </w:rPr>
        <w:t>页</w:t>
      </w:r>
      <w:r w:rsidRPr="00501FC9">
        <w:rPr>
          <w:rFonts w:cs="宋体" w:hint="eastAsia"/>
        </w:rPr>
        <w:t>。</w:t>
      </w:r>
      <w:r>
        <w:t xml:space="preserve"> </w:t>
      </w:r>
    </w:p>
  </w:footnote>
  <w:footnote w:id="12">
    <w:p w14:paraId="0465DACC" w14:textId="176C0098" w:rsidR="002513C6" w:rsidRDefault="002513C6" w:rsidP="006146D6">
      <w:pPr>
        <w:pStyle w:val="a3"/>
        <w:spacing w:line="240" w:lineRule="auto"/>
        <w:ind w:firstLine="0"/>
      </w:pPr>
      <w:r>
        <w:rPr>
          <w:rStyle w:val="a5"/>
        </w:rPr>
        <w:footnoteRef/>
      </w:r>
      <w:r>
        <w:rPr>
          <w:rFonts w:cs="宋体" w:hint="eastAsia"/>
        </w:rPr>
        <w:t xml:space="preserve"> </w:t>
      </w:r>
      <w:r w:rsidRPr="008D7FA5">
        <w:rPr>
          <w:rFonts w:cs="宋体" w:hint="eastAsia"/>
        </w:rPr>
        <w:t>闫召华：《论认罪认罚案件量刑建议的裁判制约力》，《中国刑事法杂志》</w:t>
      </w:r>
      <w:r w:rsidRPr="008D7FA5">
        <w:t>2020</w:t>
      </w:r>
      <w:r w:rsidRPr="008D7FA5">
        <w:rPr>
          <w:rFonts w:cs="宋体" w:hint="eastAsia"/>
        </w:rPr>
        <w:t>年第</w:t>
      </w:r>
      <w:r w:rsidRPr="008D7FA5">
        <w:t>1</w:t>
      </w:r>
      <w:r w:rsidRPr="008D7FA5">
        <w:rPr>
          <w:rFonts w:cs="宋体" w:hint="eastAsia"/>
        </w:rPr>
        <w:t>期</w:t>
      </w:r>
      <w:r>
        <w:rPr>
          <w:rFonts w:cs="宋体" w:hint="eastAsia"/>
        </w:rPr>
        <w:t>，第</w:t>
      </w:r>
      <w:r>
        <w:rPr>
          <w:rFonts w:cs="宋体" w:hint="eastAsia"/>
        </w:rPr>
        <w:t>24</w:t>
      </w:r>
      <w:r>
        <w:rPr>
          <w:rFonts w:cs="宋体" w:hint="eastAsia"/>
        </w:rPr>
        <w:t>页</w:t>
      </w:r>
      <w:r w:rsidRPr="008D7FA5">
        <w:rPr>
          <w:rFonts w:cs="宋体" w:hint="eastAsia"/>
        </w:rPr>
        <w:t>。</w:t>
      </w:r>
      <w:r>
        <w:t xml:space="preserve"> </w:t>
      </w:r>
    </w:p>
  </w:footnote>
  <w:footnote w:id="13">
    <w:p w14:paraId="52876AD9" w14:textId="341FE49F"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杨先德：《英国辩诉交易最高减让三分之一量刑》，《检察日报》</w:t>
      </w:r>
      <w:r>
        <w:t>2016</w:t>
      </w:r>
      <w:r>
        <w:rPr>
          <w:rFonts w:cs="宋体" w:hint="eastAsia"/>
        </w:rPr>
        <w:t>年</w:t>
      </w:r>
      <w:r>
        <w:t>11</w:t>
      </w:r>
      <w:r>
        <w:rPr>
          <w:rFonts w:cs="宋体" w:hint="eastAsia"/>
        </w:rPr>
        <w:t>月</w:t>
      </w:r>
      <w:r>
        <w:t>1</w:t>
      </w:r>
      <w:r>
        <w:rPr>
          <w:rFonts w:cs="宋体" w:hint="eastAsia"/>
        </w:rPr>
        <w:t>日</w:t>
      </w:r>
      <w:r w:rsidR="00BB3EB0">
        <w:rPr>
          <w:rFonts w:cs="宋体" w:hint="eastAsia"/>
        </w:rPr>
        <w:t>，</w:t>
      </w:r>
      <w:r>
        <w:rPr>
          <w:rFonts w:cs="宋体" w:hint="eastAsia"/>
        </w:rPr>
        <w:t>第</w:t>
      </w:r>
      <w:r>
        <w:t>3</w:t>
      </w:r>
      <w:r>
        <w:rPr>
          <w:rFonts w:cs="宋体" w:hint="eastAsia"/>
        </w:rPr>
        <w:t>版。</w:t>
      </w:r>
    </w:p>
  </w:footnote>
  <w:footnote w:id="14">
    <w:p w14:paraId="301ADD27" w14:textId="6D3C581E"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魏晓娜：《辩诉交易：对抗制的“特洛伊木马”？》，《比较法研究》</w:t>
      </w:r>
      <w:r>
        <w:t>2011</w:t>
      </w:r>
      <w:r>
        <w:rPr>
          <w:rFonts w:cs="宋体" w:hint="eastAsia"/>
        </w:rPr>
        <w:t>年第</w:t>
      </w:r>
      <w:r>
        <w:t>2</w:t>
      </w:r>
      <w:r>
        <w:rPr>
          <w:rFonts w:cs="宋体" w:hint="eastAsia"/>
        </w:rPr>
        <w:t>期，第</w:t>
      </w:r>
      <w:r>
        <w:rPr>
          <w:rFonts w:cs="宋体" w:hint="eastAsia"/>
        </w:rPr>
        <w:t>10</w:t>
      </w:r>
      <w:r>
        <w:rPr>
          <w:rFonts w:cs="宋体" w:hint="eastAsia"/>
        </w:rPr>
        <w:t>页。</w:t>
      </w:r>
    </w:p>
  </w:footnote>
  <w:footnote w:id="15">
    <w:p w14:paraId="11A2DE3D" w14:textId="2CE16DB4"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施鹏鹏、褚侨：《德国刑事协商制度的新动态》，《检察日报》</w:t>
      </w:r>
      <w:r>
        <w:t>2019</w:t>
      </w:r>
      <w:r>
        <w:rPr>
          <w:rFonts w:cs="宋体" w:hint="eastAsia"/>
        </w:rPr>
        <w:t>年</w:t>
      </w:r>
      <w:r>
        <w:t>4</w:t>
      </w:r>
      <w:r>
        <w:rPr>
          <w:rFonts w:cs="宋体" w:hint="eastAsia"/>
        </w:rPr>
        <w:t>月</w:t>
      </w:r>
      <w:r>
        <w:t>3</w:t>
      </w:r>
      <w:r>
        <w:rPr>
          <w:rFonts w:cs="宋体" w:hint="eastAsia"/>
        </w:rPr>
        <w:t>日</w:t>
      </w:r>
      <w:r w:rsidR="00BB3EB0">
        <w:rPr>
          <w:rFonts w:cs="宋体" w:hint="eastAsia"/>
        </w:rPr>
        <w:t>，</w:t>
      </w:r>
      <w:r>
        <w:rPr>
          <w:rFonts w:cs="宋体" w:hint="eastAsia"/>
        </w:rPr>
        <w:t>第</w:t>
      </w:r>
      <w:r>
        <w:t>3</w:t>
      </w:r>
      <w:r>
        <w:rPr>
          <w:rFonts w:cs="宋体" w:hint="eastAsia"/>
        </w:rPr>
        <w:t>版。</w:t>
      </w:r>
    </w:p>
  </w:footnote>
  <w:footnote w:id="16">
    <w:p w14:paraId="30347F10" w14:textId="5DE57CD5"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胡婧：《美国认罪协商程序及其对我国认罪认罚从宽制度的启示》，《甘肃社会科学》</w:t>
      </w:r>
      <w:r>
        <w:t>2017</w:t>
      </w:r>
      <w:r>
        <w:rPr>
          <w:rFonts w:cs="宋体" w:hint="eastAsia"/>
        </w:rPr>
        <w:t>年第</w:t>
      </w:r>
      <w:r>
        <w:t>4</w:t>
      </w:r>
      <w:r>
        <w:rPr>
          <w:rFonts w:cs="宋体" w:hint="eastAsia"/>
        </w:rPr>
        <w:t>期，第</w:t>
      </w:r>
      <w:r>
        <w:rPr>
          <w:rFonts w:cs="宋体" w:hint="eastAsia"/>
        </w:rPr>
        <w:t>48</w:t>
      </w:r>
      <w:r>
        <w:rPr>
          <w:rFonts w:cs="宋体" w:hint="eastAsia"/>
        </w:rPr>
        <w:t>页。</w:t>
      </w:r>
    </w:p>
  </w:footnote>
  <w:footnote w:id="17">
    <w:p w14:paraId="68FB456D" w14:textId="7940D3C3"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苏彩霞、崔仕绣：《中国量刑规范化改革发展研究</w:t>
      </w:r>
      <w:r>
        <w:t>——</w:t>
      </w:r>
      <w:r>
        <w:rPr>
          <w:rFonts w:cs="宋体" w:hint="eastAsia"/>
        </w:rPr>
        <w:t>立足域外经验的考察》，《湖北大学学报（哲学社会科学版）》</w:t>
      </w:r>
      <w:r>
        <w:t>2019</w:t>
      </w:r>
      <w:r>
        <w:rPr>
          <w:rFonts w:cs="宋体" w:hint="eastAsia"/>
        </w:rPr>
        <w:t>年第</w:t>
      </w:r>
      <w:r>
        <w:t>1</w:t>
      </w:r>
      <w:r>
        <w:rPr>
          <w:rFonts w:cs="宋体" w:hint="eastAsia"/>
        </w:rPr>
        <w:t>期，第</w:t>
      </w:r>
      <w:r>
        <w:rPr>
          <w:rFonts w:cs="宋体" w:hint="eastAsia"/>
        </w:rPr>
        <w:t>67</w:t>
      </w:r>
      <w:r>
        <w:rPr>
          <w:rFonts w:cs="宋体" w:hint="eastAsia"/>
        </w:rPr>
        <w:t>页。</w:t>
      </w:r>
    </w:p>
  </w:footnote>
  <w:footnote w:id="18">
    <w:p w14:paraId="0AA364C8" w14:textId="5713515E" w:rsidR="002513C6" w:rsidRDefault="002513C6" w:rsidP="006146D6">
      <w:pPr>
        <w:pStyle w:val="a3"/>
        <w:spacing w:line="240" w:lineRule="auto"/>
        <w:ind w:firstLine="0"/>
      </w:pPr>
      <w:r>
        <w:rPr>
          <w:rStyle w:val="a5"/>
        </w:rPr>
        <w:footnoteRef/>
      </w:r>
      <w:r>
        <w:rPr>
          <w:rFonts w:cs="宋体" w:hint="eastAsia"/>
        </w:rPr>
        <w:t xml:space="preserve"> </w:t>
      </w:r>
      <w:r w:rsidRPr="00EB6E5F">
        <w:rPr>
          <w:rFonts w:cs="宋体" w:hint="eastAsia"/>
        </w:rPr>
        <w:t>杨立新：《对认罪认罚从宽制度中量刑建议问题的思考》，《人民司法》</w:t>
      </w:r>
      <w:r w:rsidRPr="00EB6E5F">
        <w:t>2020</w:t>
      </w:r>
      <w:r w:rsidRPr="00EB6E5F">
        <w:rPr>
          <w:rFonts w:cs="宋体" w:hint="eastAsia"/>
        </w:rPr>
        <w:t>年第</w:t>
      </w:r>
      <w:r w:rsidRPr="00EB6E5F">
        <w:t>1</w:t>
      </w:r>
      <w:r w:rsidRPr="00EB6E5F">
        <w:rPr>
          <w:rFonts w:cs="宋体" w:hint="eastAsia"/>
        </w:rPr>
        <w:t>期</w:t>
      </w:r>
      <w:r>
        <w:rPr>
          <w:rFonts w:cs="宋体" w:hint="eastAsia"/>
        </w:rPr>
        <w:t>，第</w:t>
      </w:r>
      <w:r>
        <w:rPr>
          <w:rFonts w:cs="宋体" w:hint="eastAsia"/>
        </w:rPr>
        <w:t>12</w:t>
      </w:r>
      <w:r>
        <w:rPr>
          <w:rFonts w:cs="宋体" w:hint="eastAsia"/>
        </w:rPr>
        <w:t>页</w:t>
      </w:r>
      <w:r w:rsidRPr="00EB6E5F">
        <w:rPr>
          <w:rFonts w:cs="宋体" w:hint="eastAsia"/>
        </w:rPr>
        <w:t>。</w:t>
      </w:r>
    </w:p>
  </w:footnote>
  <w:footnote w:id="19">
    <w:p w14:paraId="395DFBA3" w14:textId="6A0E0DF8" w:rsidR="002513C6" w:rsidRDefault="002513C6" w:rsidP="006146D6">
      <w:pPr>
        <w:pStyle w:val="a3"/>
        <w:keepLines/>
        <w:spacing w:line="240" w:lineRule="auto"/>
        <w:ind w:firstLine="0"/>
      </w:pPr>
      <w:r>
        <w:rPr>
          <w:rStyle w:val="a5"/>
        </w:rPr>
        <w:footnoteRef/>
      </w:r>
      <w:r>
        <w:rPr>
          <w:rFonts w:cs="宋体" w:hint="eastAsia"/>
        </w:rPr>
        <w:t xml:space="preserve"> </w:t>
      </w:r>
      <w:r w:rsidR="00A45336">
        <w:rPr>
          <w:rFonts w:cs="宋体" w:hint="eastAsia"/>
        </w:rPr>
        <w:t>同注</w:t>
      </w:r>
      <w:r w:rsidR="00A45336" w:rsidRPr="00A45336">
        <w:rPr>
          <w:rFonts w:cs="宋体" w:hint="eastAsia"/>
          <w:vertAlign w:val="superscript"/>
        </w:rPr>
        <w:t>5</w:t>
      </w:r>
    </w:p>
  </w:footnote>
  <w:footnote w:id="20">
    <w:p w14:paraId="658B71C8" w14:textId="77777777" w:rsidR="002513C6" w:rsidRDefault="002513C6" w:rsidP="006146D6">
      <w:pPr>
        <w:pStyle w:val="a3"/>
        <w:spacing w:line="240" w:lineRule="auto"/>
        <w:ind w:firstLine="0"/>
      </w:pPr>
      <w:r>
        <w:rPr>
          <w:rStyle w:val="a5"/>
        </w:rPr>
        <w:footnoteRef/>
      </w:r>
      <w:r>
        <w:rPr>
          <w:rFonts w:hint="eastAsia"/>
        </w:rPr>
        <w:t xml:space="preserve"> </w:t>
      </w:r>
      <w:r>
        <w:t>2019</w:t>
      </w:r>
      <w:r>
        <w:rPr>
          <w:rFonts w:cs="宋体" w:hint="eastAsia"/>
        </w:rPr>
        <w:t>年</w:t>
      </w:r>
      <w:r>
        <w:t>3</w:t>
      </w:r>
      <w:r>
        <w:rPr>
          <w:rFonts w:cs="宋体" w:hint="eastAsia"/>
        </w:rPr>
        <w:t>月</w:t>
      </w:r>
      <w:r>
        <w:t>12</w:t>
      </w:r>
      <w:r>
        <w:rPr>
          <w:rFonts w:cs="宋体" w:hint="eastAsia"/>
        </w:rPr>
        <w:t>日，最高人民检察院检察长张军在第十三届全国人民代表大会第二次会议上作《最高人民检察院工作报告》。</w:t>
      </w:r>
    </w:p>
  </w:footnote>
  <w:footnote w:id="21">
    <w:p w14:paraId="3198F021" w14:textId="5DC19757"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匡雪、王文斌：《量刑建议采纳率</w:t>
      </w:r>
      <w:r>
        <w:t>100%——</w:t>
      </w:r>
      <w:r>
        <w:rPr>
          <w:rFonts w:cs="宋体" w:hint="eastAsia"/>
        </w:rPr>
        <w:t>山东淄博：找准突破口落实认罪认罚从宽制度》，《检察日报》</w:t>
      </w:r>
      <w:r>
        <w:t>2019</w:t>
      </w:r>
      <w:r>
        <w:rPr>
          <w:rFonts w:cs="宋体" w:hint="eastAsia"/>
        </w:rPr>
        <w:t>年</w:t>
      </w:r>
      <w:r>
        <w:t>5</w:t>
      </w:r>
      <w:r>
        <w:rPr>
          <w:rFonts w:cs="宋体" w:hint="eastAsia"/>
        </w:rPr>
        <w:t>月</w:t>
      </w:r>
      <w:r>
        <w:t>22</w:t>
      </w:r>
      <w:r>
        <w:rPr>
          <w:rFonts w:cs="宋体" w:hint="eastAsia"/>
        </w:rPr>
        <w:t>日</w:t>
      </w:r>
      <w:r w:rsidR="00BB3EB0">
        <w:rPr>
          <w:rFonts w:cs="宋体" w:hint="eastAsia"/>
        </w:rPr>
        <w:t>，</w:t>
      </w:r>
      <w:r>
        <w:rPr>
          <w:rFonts w:cs="宋体" w:hint="eastAsia"/>
        </w:rPr>
        <w:t>第</w:t>
      </w:r>
      <w:r>
        <w:t>2</w:t>
      </w:r>
      <w:r>
        <w:rPr>
          <w:rFonts w:cs="宋体" w:hint="eastAsia"/>
        </w:rPr>
        <w:t>版；李轩甫、李东升：《从宽量刑建议百分百被采纳</w:t>
      </w:r>
      <w:r>
        <w:t>——</w:t>
      </w:r>
      <w:r>
        <w:rPr>
          <w:rFonts w:cs="宋体" w:hint="eastAsia"/>
        </w:rPr>
        <w:t>海南屯昌：近</w:t>
      </w:r>
      <w:r>
        <w:t>4</w:t>
      </w:r>
      <w:r>
        <w:rPr>
          <w:rFonts w:cs="宋体" w:hint="eastAsia"/>
        </w:rPr>
        <w:t>成案件适用认罪认罚从宽制度》，《检察日报》</w:t>
      </w:r>
      <w:r>
        <w:t>2019</w:t>
      </w:r>
      <w:r>
        <w:rPr>
          <w:rFonts w:cs="宋体" w:hint="eastAsia"/>
        </w:rPr>
        <w:t>年</w:t>
      </w:r>
      <w:r>
        <w:t>8</w:t>
      </w:r>
      <w:r>
        <w:rPr>
          <w:rFonts w:cs="宋体" w:hint="eastAsia"/>
        </w:rPr>
        <w:t>月</w:t>
      </w:r>
      <w:r>
        <w:t>31</w:t>
      </w:r>
      <w:r>
        <w:rPr>
          <w:rFonts w:cs="宋体" w:hint="eastAsia"/>
        </w:rPr>
        <w:t>日</w:t>
      </w:r>
      <w:r w:rsidR="00BB3EB0">
        <w:rPr>
          <w:rFonts w:cs="宋体" w:hint="eastAsia"/>
        </w:rPr>
        <w:t>，</w:t>
      </w:r>
      <w:r>
        <w:rPr>
          <w:rFonts w:cs="宋体" w:hint="eastAsia"/>
        </w:rPr>
        <w:t>第</w:t>
      </w:r>
      <w:r>
        <w:t>2</w:t>
      </w:r>
      <w:r>
        <w:rPr>
          <w:rFonts w:cs="宋体" w:hint="eastAsia"/>
        </w:rPr>
        <w:t>版。</w:t>
      </w:r>
    </w:p>
  </w:footnote>
  <w:footnote w:id="22">
    <w:p w14:paraId="53410019" w14:textId="66D7C39D"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林中明：《上海：认罪认罚从宽制度全面铺开成效初显</w:t>
      </w:r>
      <w:r>
        <w:t>——</w:t>
      </w:r>
      <w:r>
        <w:rPr>
          <w:rFonts w:cs="宋体" w:hint="eastAsia"/>
        </w:rPr>
        <w:t>试点</w:t>
      </w:r>
      <w:r>
        <w:t>3</w:t>
      </w:r>
      <w:r>
        <w:rPr>
          <w:rFonts w:cs="宋体" w:hint="eastAsia"/>
        </w:rPr>
        <w:t>个月</w:t>
      </w:r>
      <w:r>
        <w:t>95%</w:t>
      </w:r>
      <w:r>
        <w:rPr>
          <w:rFonts w:cs="宋体" w:hint="eastAsia"/>
        </w:rPr>
        <w:t>以上量刑建议被采纳》，《检察日报》</w:t>
      </w:r>
      <w:r>
        <w:t>2017</w:t>
      </w:r>
      <w:r>
        <w:rPr>
          <w:rFonts w:cs="宋体" w:hint="eastAsia"/>
        </w:rPr>
        <w:t>年</w:t>
      </w:r>
      <w:r>
        <w:t>4</w:t>
      </w:r>
      <w:r>
        <w:rPr>
          <w:rFonts w:cs="宋体" w:hint="eastAsia"/>
        </w:rPr>
        <w:t>月</w:t>
      </w:r>
      <w:r>
        <w:t>25</w:t>
      </w:r>
      <w:r>
        <w:rPr>
          <w:rFonts w:cs="宋体" w:hint="eastAsia"/>
        </w:rPr>
        <w:t>日</w:t>
      </w:r>
      <w:r w:rsidR="00BB3EB0">
        <w:rPr>
          <w:rFonts w:cs="宋体" w:hint="eastAsia"/>
        </w:rPr>
        <w:t>，</w:t>
      </w:r>
      <w:r>
        <w:rPr>
          <w:rFonts w:cs="宋体" w:hint="eastAsia"/>
        </w:rPr>
        <w:t>第</w:t>
      </w:r>
      <w:r>
        <w:t>1</w:t>
      </w:r>
      <w:r>
        <w:rPr>
          <w:rFonts w:cs="宋体" w:hint="eastAsia"/>
        </w:rPr>
        <w:t>版。</w:t>
      </w:r>
    </w:p>
  </w:footnote>
  <w:footnote w:id="23">
    <w:p w14:paraId="7FAD9E50" w14:textId="1A12C639"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陈伟、黄泽敏：《认罪认罚量刑建议的权利制衡机制构建》，《时代法学》</w:t>
      </w:r>
      <w:r>
        <w:t>2019</w:t>
      </w:r>
      <w:r>
        <w:rPr>
          <w:rFonts w:cs="宋体" w:hint="eastAsia"/>
        </w:rPr>
        <w:t>年第</w:t>
      </w:r>
      <w:r>
        <w:t>3</w:t>
      </w:r>
      <w:r>
        <w:rPr>
          <w:rFonts w:cs="宋体" w:hint="eastAsia"/>
        </w:rPr>
        <w:t>期，第</w:t>
      </w:r>
      <w:r>
        <w:rPr>
          <w:rFonts w:cs="宋体" w:hint="eastAsia"/>
        </w:rPr>
        <w:t>40</w:t>
      </w:r>
      <w:r>
        <w:rPr>
          <w:rFonts w:cs="宋体" w:hint="eastAsia"/>
        </w:rPr>
        <w:t>页。</w:t>
      </w:r>
    </w:p>
  </w:footnote>
  <w:footnote w:id="24">
    <w:p w14:paraId="429F5E18" w14:textId="0D27E6DA"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同</w:t>
      </w:r>
      <w:r w:rsidR="00A45336">
        <w:rPr>
          <w:rFonts w:cs="宋体" w:hint="eastAsia"/>
        </w:rPr>
        <w:t>注</w:t>
      </w:r>
      <w:r w:rsidR="00A45336">
        <w:rPr>
          <w:rFonts w:cs="宋体" w:hint="eastAsia"/>
          <w:vertAlign w:val="superscript"/>
        </w:rPr>
        <w:t>5</w:t>
      </w:r>
    </w:p>
  </w:footnote>
  <w:footnote w:id="25">
    <w:p w14:paraId="76E9A272" w14:textId="7E784429"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臧德胜：《科学适用刑事诉讼幅度型量刑建议》，《人民法院报》</w:t>
      </w:r>
      <w:r>
        <w:t>2019</w:t>
      </w:r>
      <w:r>
        <w:rPr>
          <w:rFonts w:cs="宋体" w:hint="eastAsia"/>
        </w:rPr>
        <w:t>年</w:t>
      </w:r>
      <w:r>
        <w:t>8</w:t>
      </w:r>
      <w:r>
        <w:rPr>
          <w:rFonts w:cs="宋体" w:hint="eastAsia"/>
        </w:rPr>
        <w:t>月</w:t>
      </w:r>
      <w:r>
        <w:t>29</w:t>
      </w:r>
      <w:r>
        <w:rPr>
          <w:rFonts w:cs="宋体" w:hint="eastAsia"/>
        </w:rPr>
        <w:t>日</w:t>
      </w:r>
      <w:r w:rsidR="00BB3EB0">
        <w:rPr>
          <w:rFonts w:cs="宋体" w:hint="eastAsia"/>
        </w:rPr>
        <w:t>，</w:t>
      </w:r>
      <w:r>
        <w:rPr>
          <w:rFonts w:cs="宋体" w:hint="eastAsia"/>
        </w:rPr>
        <w:t>第</w:t>
      </w:r>
      <w:r>
        <w:t>2</w:t>
      </w:r>
      <w:r>
        <w:rPr>
          <w:rFonts w:cs="宋体" w:hint="eastAsia"/>
        </w:rPr>
        <w:t>版。</w:t>
      </w:r>
    </w:p>
  </w:footnote>
  <w:footnote w:id="26">
    <w:p w14:paraId="7C09E68C" w14:textId="77777777"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中国政法大学刑事辩护研究中心：《认罪认罚案件大数据报告》，</w:t>
      </w:r>
      <w:r w:rsidRPr="00E12AD3">
        <w:t>https://m.sohu.com/a/332363403_10014</w:t>
      </w:r>
    </w:p>
    <w:p w14:paraId="22DE81DF" w14:textId="77777777" w:rsidR="002513C6" w:rsidRDefault="002513C6" w:rsidP="006146D6">
      <w:pPr>
        <w:pStyle w:val="a3"/>
        <w:spacing w:line="240" w:lineRule="auto"/>
        <w:ind w:firstLine="0"/>
      </w:pPr>
      <w:r w:rsidRPr="00E12AD3">
        <w:t>7457</w:t>
      </w:r>
      <w:r>
        <w:rPr>
          <w:rFonts w:cs="宋体" w:hint="eastAsia"/>
        </w:rPr>
        <w:t>，</w:t>
      </w:r>
      <w:r>
        <w:t>2020</w:t>
      </w:r>
      <w:r>
        <w:rPr>
          <w:rFonts w:cs="宋体" w:hint="eastAsia"/>
        </w:rPr>
        <w:t>年</w:t>
      </w:r>
      <w:r>
        <w:t>1</w:t>
      </w:r>
      <w:r>
        <w:rPr>
          <w:rFonts w:cs="宋体" w:hint="eastAsia"/>
        </w:rPr>
        <w:t>月</w:t>
      </w:r>
      <w:r>
        <w:t>15</w:t>
      </w:r>
      <w:r>
        <w:rPr>
          <w:rFonts w:cs="宋体" w:hint="eastAsia"/>
        </w:rPr>
        <w:t>访问。</w:t>
      </w:r>
    </w:p>
  </w:footnote>
  <w:footnote w:id="27">
    <w:p w14:paraId="4D2908F9" w14:textId="0047196C"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卞建林、谢澎：《刑事检察制度改革实证研究》，《中国刑事法杂志》</w:t>
      </w:r>
      <w:r>
        <w:t>2018</w:t>
      </w:r>
      <w:r>
        <w:rPr>
          <w:rFonts w:cs="宋体" w:hint="eastAsia"/>
        </w:rPr>
        <w:t>年第</w:t>
      </w:r>
      <w:r>
        <w:t>6</w:t>
      </w:r>
      <w:r>
        <w:rPr>
          <w:rFonts w:cs="宋体" w:hint="eastAsia"/>
        </w:rPr>
        <w:t>期，第</w:t>
      </w:r>
      <w:r>
        <w:rPr>
          <w:rFonts w:cs="宋体" w:hint="eastAsia"/>
        </w:rPr>
        <w:t>55</w:t>
      </w:r>
      <w:r>
        <w:rPr>
          <w:rFonts w:cs="宋体" w:hint="eastAsia"/>
        </w:rPr>
        <w:t>页。</w:t>
      </w:r>
    </w:p>
  </w:footnote>
  <w:footnote w:id="28">
    <w:p w14:paraId="3A4A24CE" w14:textId="658E5B2B"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吴冬、张东武、吴海伦：《认罪认罚从宽制度改革中量刑建议研究》，《人民检察》</w:t>
      </w:r>
      <w:r>
        <w:t>2017</w:t>
      </w:r>
      <w:r>
        <w:rPr>
          <w:rFonts w:cs="宋体" w:hint="eastAsia"/>
        </w:rPr>
        <w:t>年第</w:t>
      </w:r>
      <w:r>
        <w:t>17</w:t>
      </w:r>
      <w:r>
        <w:rPr>
          <w:rFonts w:cs="宋体" w:hint="eastAsia"/>
        </w:rPr>
        <w:t>期，第</w:t>
      </w:r>
      <w:r>
        <w:rPr>
          <w:rFonts w:cs="宋体" w:hint="eastAsia"/>
        </w:rPr>
        <w:t>45</w:t>
      </w:r>
      <w:r>
        <w:rPr>
          <w:rFonts w:cs="宋体" w:hint="eastAsia"/>
        </w:rPr>
        <w:t>页。</w:t>
      </w:r>
    </w:p>
  </w:footnote>
  <w:footnote w:id="29">
    <w:p w14:paraId="4972BF56" w14:textId="555B1A6B" w:rsidR="002513C6" w:rsidRDefault="002513C6" w:rsidP="006146D6">
      <w:pPr>
        <w:pStyle w:val="a3"/>
        <w:keepLines/>
        <w:spacing w:line="240" w:lineRule="auto"/>
        <w:ind w:firstLine="0"/>
      </w:pPr>
      <w:r>
        <w:rPr>
          <w:rStyle w:val="a5"/>
        </w:rPr>
        <w:footnoteRef/>
      </w:r>
      <w:r>
        <w:rPr>
          <w:rFonts w:cs="宋体" w:hint="eastAsia"/>
        </w:rPr>
        <w:t xml:space="preserve"> </w:t>
      </w:r>
      <w:r>
        <w:rPr>
          <w:rFonts w:cs="宋体" w:hint="eastAsia"/>
        </w:rPr>
        <w:t>郑敏、陈玉官、方俊民：《刑事速裁程序量刑协商制度若干问题研究</w:t>
      </w:r>
      <w:r>
        <w:t>——</w:t>
      </w:r>
      <w:r>
        <w:rPr>
          <w:rFonts w:cs="宋体" w:hint="eastAsia"/>
        </w:rPr>
        <w:t>基于福建省福清市人民法院试点观察》，《法律适用》</w:t>
      </w:r>
      <w:r>
        <w:t>2016</w:t>
      </w:r>
      <w:r>
        <w:rPr>
          <w:rFonts w:cs="宋体" w:hint="eastAsia"/>
        </w:rPr>
        <w:t>年第</w:t>
      </w:r>
      <w:r>
        <w:t>4</w:t>
      </w:r>
      <w:r>
        <w:rPr>
          <w:rFonts w:cs="宋体" w:hint="eastAsia"/>
        </w:rPr>
        <w:t>期，第</w:t>
      </w:r>
      <w:r>
        <w:rPr>
          <w:rFonts w:cs="宋体" w:hint="eastAsia"/>
        </w:rPr>
        <w:t>78</w:t>
      </w:r>
      <w:r>
        <w:rPr>
          <w:rFonts w:cs="宋体" w:hint="eastAsia"/>
        </w:rPr>
        <w:t>页。</w:t>
      </w:r>
    </w:p>
  </w:footnote>
  <w:footnote w:id="30">
    <w:p w14:paraId="5223318A" w14:textId="100144CB"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陈瑞华：《论量刑建议》，《政法论坛》</w:t>
      </w:r>
      <w:r>
        <w:t>2011</w:t>
      </w:r>
      <w:r>
        <w:rPr>
          <w:rFonts w:cs="宋体" w:hint="eastAsia"/>
        </w:rPr>
        <w:t>年第</w:t>
      </w:r>
      <w:r>
        <w:t>2</w:t>
      </w:r>
      <w:r>
        <w:rPr>
          <w:rFonts w:cs="宋体" w:hint="eastAsia"/>
        </w:rPr>
        <w:t>期，第</w:t>
      </w:r>
      <w:r>
        <w:rPr>
          <w:rFonts w:cs="宋体" w:hint="eastAsia"/>
        </w:rPr>
        <w:t>35</w:t>
      </w:r>
      <w:r>
        <w:rPr>
          <w:rFonts w:cs="宋体" w:hint="eastAsia"/>
        </w:rPr>
        <w:t>页。</w:t>
      </w:r>
    </w:p>
  </w:footnote>
  <w:footnote w:id="31">
    <w:p w14:paraId="2B30592B" w14:textId="56368F6C" w:rsidR="002513C6" w:rsidRDefault="002513C6" w:rsidP="006146D6">
      <w:pPr>
        <w:pStyle w:val="a3"/>
        <w:spacing w:line="240" w:lineRule="auto"/>
        <w:ind w:firstLine="0"/>
      </w:pPr>
      <w:r>
        <w:rPr>
          <w:rStyle w:val="a5"/>
        </w:rPr>
        <w:footnoteRef/>
      </w:r>
      <w:r w:rsidR="00A45336">
        <w:rPr>
          <w:rFonts w:cs="宋体" w:hint="eastAsia"/>
        </w:rPr>
        <w:t>同注</w:t>
      </w:r>
      <w:r w:rsidRPr="002513C6">
        <w:rPr>
          <w:rFonts w:cs="宋体" w:hint="eastAsia"/>
          <w:vertAlign w:val="superscript"/>
        </w:rPr>
        <w:t>30</w:t>
      </w:r>
      <w:r>
        <w:rPr>
          <w:rFonts w:cs="宋体" w:hint="eastAsia"/>
        </w:rPr>
        <w:t>。</w:t>
      </w:r>
    </w:p>
  </w:footnote>
  <w:footnote w:id="32">
    <w:p w14:paraId="78D99EE2" w14:textId="66DBC8D6"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董史统：《构建精准量刑机制提升法律监督质效》，《检察日报》</w:t>
      </w:r>
      <w:r>
        <w:t>2019</w:t>
      </w:r>
      <w:r>
        <w:rPr>
          <w:rFonts w:cs="宋体" w:hint="eastAsia"/>
        </w:rPr>
        <w:t>年</w:t>
      </w:r>
      <w:r>
        <w:t>4</w:t>
      </w:r>
      <w:r>
        <w:rPr>
          <w:rFonts w:cs="宋体" w:hint="eastAsia"/>
        </w:rPr>
        <w:t>月</w:t>
      </w:r>
      <w:r>
        <w:t>28</w:t>
      </w:r>
      <w:r>
        <w:rPr>
          <w:rFonts w:cs="宋体" w:hint="eastAsia"/>
        </w:rPr>
        <w:t>日</w:t>
      </w:r>
      <w:r w:rsidR="00BB3EB0">
        <w:rPr>
          <w:rFonts w:cs="宋体" w:hint="eastAsia"/>
        </w:rPr>
        <w:t>，</w:t>
      </w:r>
      <w:r>
        <w:rPr>
          <w:rFonts w:cs="宋体" w:hint="eastAsia"/>
        </w:rPr>
        <w:t>第</w:t>
      </w:r>
      <w:r>
        <w:t>3</w:t>
      </w:r>
      <w:r>
        <w:rPr>
          <w:rFonts w:cs="宋体" w:hint="eastAsia"/>
        </w:rPr>
        <w:t>版。</w:t>
      </w:r>
    </w:p>
  </w:footnote>
  <w:footnote w:id="33">
    <w:p w14:paraId="4FB14341" w14:textId="77F7439A"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陈国庆：《量刑建议的若干问题》，《中国刑事法杂志》</w:t>
      </w:r>
      <w:r>
        <w:t>2019</w:t>
      </w:r>
      <w:r>
        <w:rPr>
          <w:rFonts w:cs="宋体" w:hint="eastAsia"/>
        </w:rPr>
        <w:t>年第</w:t>
      </w:r>
      <w:r>
        <w:t>5</w:t>
      </w:r>
      <w:r>
        <w:rPr>
          <w:rFonts w:cs="宋体" w:hint="eastAsia"/>
        </w:rPr>
        <w:t>期，第</w:t>
      </w:r>
      <w:r>
        <w:rPr>
          <w:rFonts w:cs="宋体" w:hint="eastAsia"/>
        </w:rPr>
        <w:t>18</w:t>
      </w:r>
      <w:r>
        <w:rPr>
          <w:rFonts w:cs="宋体" w:hint="eastAsia"/>
        </w:rPr>
        <w:t>页。</w:t>
      </w:r>
    </w:p>
  </w:footnote>
  <w:footnote w:id="34">
    <w:p w14:paraId="5E6DF7E4" w14:textId="10394207"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周光权：《量刑程序改革的实体法支撑》，《法学家》</w:t>
      </w:r>
      <w:r>
        <w:t>2010</w:t>
      </w:r>
      <w:r>
        <w:rPr>
          <w:rFonts w:cs="宋体" w:hint="eastAsia"/>
        </w:rPr>
        <w:t>年第</w:t>
      </w:r>
      <w:r>
        <w:t>2</w:t>
      </w:r>
      <w:r>
        <w:rPr>
          <w:rFonts w:cs="宋体" w:hint="eastAsia"/>
        </w:rPr>
        <w:t>期，第</w:t>
      </w:r>
      <w:r>
        <w:rPr>
          <w:rFonts w:cs="宋体" w:hint="eastAsia"/>
        </w:rPr>
        <w:t>19</w:t>
      </w:r>
      <w:r>
        <w:rPr>
          <w:rFonts w:cs="宋体" w:hint="eastAsia"/>
        </w:rPr>
        <w:t>页。</w:t>
      </w:r>
    </w:p>
  </w:footnote>
  <w:footnote w:id="35">
    <w:p w14:paraId="3BCBD985" w14:textId="7A92CF31" w:rsidR="002513C6" w:rsidRDefault="002513C6" w:rsidP="006146D6">
      <w:pPr>
        <w:pStyle w:val="a3"/>
        <w:spacing w:line="240" w:lineRule="auto"/>
        <w:ind w:firstLine="0"/>
      </w:pPr>
      <w:r>
        <w:rPr>
          <w:rStyle w:val="a5"/>
        </w:rPr>
        <w:footnoteRef/>
      </w:r>
      <w:r>
        <w:rPr>
          <w:rFonts w:cs="宋体" w:hint="eastAsia"/>
          <w:lang w:val="zh-TW"/>
        </w:rPr>
        <w:t xml:space="preserve"> </w:t>
      </w:r>
      <w:r w:rsidRPr="00F4375E">
        <w:rPr>
          <w:rFonts w:cs="宋体" w:hint="eastAsia"/>
          <w:lang w:val="zh-TW"/>
        </w:rPr>
        <w:t>刘伟琦：《认罪认罚的</w:t>
      </w:r>
      <w:r>
        <w:rPr>
          <w:rFonts w:hint="eastAsia"/>
          <w:lang w:val="zh-TW"/>
        </w:rPr>
        <w:t>“</w:t>
      </w:r>
      <w:r w:rsidRPr="00F4375E">
        <w:rPr>
          <w:lang w:val="zh-TW"/>
        </w:rPr>
        <w:t>321</w:t>
      </w:r>
      <w:r>
        <w:rPr>
          <w:rFonts w:hint="eastAsia"/>
          <w:lang w:val="zh-TW"/>
        </w:rPr>
        <w:t>”</w:t>
      </w:r>
      <w:r w:rsidRPr="00F4375E">
        <w:rPr>
          <w:rFonts w:cs="宋体" w:hint="eastAsia"/>
          <w:lang w:val="zh-TW"/>
        </w:rPr>
        <w:t>阶梯式从宽量刑机制》，《湖北社会科学》</w:t>
      </w:r>
      <w:r w:rsidRPr="00F4375E">
        <w:rPr>
          <w:lang w:val="zh-TW"/>
        </w:rPr>
        <w:t>2018</w:t>
      </w:r>
      <w:r w:rsidRPr="00F4375E">
        <w:rPr>
          <w:rFonts w:cs="宋体" w:hint="eastAsia"/>
          <w:lang w:val="zh-TW"/>
        </w:rPr>
        <w:t>年第</w:t>
      </w:r>
      <w:r w:rsidRPr="00F4375E">
        <w:rPr>
          <w:lang w:val="zh-TW"/>
        </w:rPr>
        <w:t>12</w:t>
      </w:r>
      <w:r w:rsidRPr="00F4375E">
        <w:rPr>
          <w:rFonts w:cs="宋体" w:hint="eastAsia"/>
          <w:lang w:val="zh-TW"/>
        </w:rPr>
        <w:t>期</w:t>
      </w:r>
      <w:r>
        <w:rPr>
          <w:rFonts w:cs="宋体" w:hint="eastAsia"/>
          <w:lang w:val="zh-TW"/>
        </w:rPr>
        <w:t>，第</w:t>
      </w:r>
      <w:r>
        <w:rPr>
          <w:rFonts w:cs="宋体" w:hint="eastAsia"/>
          <w:lang w:val="zh-TW"/>
        </w:rPr>
        <w:t>55</w:t>
      </w:r>
      <w:r>
        <w:rPr>
          <w:rFonts w:cs="宋体" w:hint="eastAsia"/>
          <w:lang w:val="zh-TW"/>
        </w:rPr>
        <w:t>页</w:t>
      </w:r>
      <w:r w:rsidRPr="00F4375E">
        <w:rPr>
          <w:rFonts w:cs="宋体" w:hint="eastAsia"/>
          <w:lang w:val="zh-TW"/>
        </w:rPr>
        <w:t>。</w:t>
      </w:r>
    </w:p>
  </w:footnote>
  <w:footnote w:id="36">
    <w:p w14:paraId="1664882E" w14:textId="11BA8954" w:rsidR="002513C6" w:rsidRDefault="002513C6" w:rsidP="006146D6">
      <w:pPr>
        <w:pStyle w:val="a3"/>
        <w:spacing w:line="240" w:lineRule="auto"/>
        <w:ind w:firstLine="0"/>
      </w:pPr>
      <w:r>
        <w:rPr>
          <w:rStyle w:val="a5"/>
        </w:rPr>
        <w:footnoteRef/>
      </w:r>
      <w:r>
        <w:rPr>
          <w:rFonts w:cs="宋体" w:hint="eastAsia"/>
        </w:rPr>
        <w:t xml:space="preserve"> </w:t>
      </w:r>
      <w:r>
        <w:rPr>
          <w:rFonts w:cs="宋体" w:hint="eastAsia"/>
        </w:rPr>
        <w:t>刘方权：《认罪认罚从宽制度的建设路径</w:t>
      </w:r>
      <w:r>
        <w:t>——</w:t>
      </w:r>
      <w:r>
        <w:rPr>
          <w:rFonts w:cs="宋体" w:hint="eastAsia"/>
        </w:rPr>
        <w:t>基于刑事速裁程序试点经验的研究》，《中国刑事法杂志》</w:t>
      </w:r>
      <w:r>
        <w:t>2017</w:t>
      </w:r>
      <w:r>
        <w:rPr>
          <w:rFonts w:cs="宋体" w:hint="eastAsia"/>
        </w:rPr>
        <w:t>年第</w:t>
      </w:r>
      <w:r>
        <w:t>3</w:t>
      </w:r>
      <w:r>
        <w:rPr>
          <w:rFonts w:cs="宋体" w:hint="eastAsia"/>
        </w:rPr>
        <w:t>期，第</w:t>
      </w:r>
      <w:r w:rsidR="00B717BB">
        <w:rPr>
          <w:rFonts w:cs="宋体" w:hint="eastAsia"/>
        </w:rPr>
        <w:t>86</w:t>
      </w:r>
      <w:r w:rsidR="00B717BB">
        <w:rPr>
          <w:rFonts w:cs="宋体" w:hint="eastAsia"/>
        </w:rPr>
        <w:t>页</w:t>
      </w:r>
      <w:r>
        <w:rPr>
          <w:rFonts w:cs="宋体" w:hint="eastAsia"/>
        </w:rPr>
        <w:t>。</w:t>
      </w:r>
    </w:p>
  </w:footnote>
  <w:footnote w:id="37">
    <w:p w14:paraId="29C8FD6A" w14:textId="4B162DA2" w:rsidR="002513C6" w:rsidRDefault="002513C6" w:rsidP="006146D6">
      <w:pPr>
        <w:pStyle w:val="a3"/>
        <w:spacing w:line="240" w:lineRule="auto"/>
        <w:ind w:firstLine="0"/>
      </w:pPr>
      <w:r>
        <w:rPr>
          <w:rStyle w:val="a5"/>
        </w:rPr>
        <w:footnoteRef/>
      </w:r>
      <w:r w:rsidR="00BB3EB0">
        <w:rPr>
          <w:rFonts w:cs="宋体" w:hint="eastAsia"/>
        </w:rPr>
        <w:t>同注</w:t>
      </w:r>
      <w:r w:rsidR="00BB3EB0" w:rsidRPr="00BB3EB0">
        <w:rPr>
          <w:rFonts w:cs="宋体" w:hint="eastAsia"/>
          <w:vertAlign w:val="superscript"/>
        </w:rPr>
        <w:t>12</w:t>
      </w:r>
      <w:r>
        <w:rPr>
          <w:rFonts w:cs="宋体" w:hint="eastAs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22D6B"/>
    <w:multiLevelType w:val="hybridMultilevel"/>
    <w:tmpl w:val="BBF2D1B2"/>
    <w:lvl w:ilvl="0" w:tplc="15E8C5B8">
      <w:start w:val="1"/>
      <w:numFmt w:val="japaneseCounting"/>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 w15:restartNumberingAfterBreak="0">
    <w:nsid w:val="11117A57"/>
    <w:multiLevelType w:val="hybridMultilevel"/>
    <w:tmpl w:val="B9DCAC90"/>
    <w:lvl w:ilvl="0" w:tplc="76FE70C6">
      <w:start w:val="1"/>
      <w:numFmt w:val="decimal"/>
      <w:lvlText w:val="%1."/>
      <w:lvlJc w:val="left"/>
      <w:pPr>
        <w:ind w:left="780" w:hanging="360"/>
      </w:pPr>
      <w:rPr>
        <w:rFonts w:hint="default"/>
        <w:b/>
        <w:bCs/>
        <w:color w:val="auto"/>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15:restartNumberingAfterBreak="0">
    <w:nsid w:val="26205DF5"/>
    <w:multiLevelType w:val="hybridMultilevel"/>
    <w:tmpl w:val="A0927870"/>
    <w:lvl w:ilvl="0" w:tplc="B0CAA912">
      <w:start w:val="1"/>
      <w:numFmt w:val="japaneseCounting"/>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 w15:restartNumberingAfterBreak="0">
    <w:nsid w:val="71B27728"/>
    <w:multiLevelType w:val="hybridMultilevel"/>
    <w:tmpl w:val="BCC8BDE0"/>
    <w:lvl w:ilvl="0" w:tplc="E77ACCAE">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783"/>
    <w:rsid w:val="00000152"/>
    <w:rsid w:val="00002062"/>
    <w:rsid w:val="00003218"/>
    <w:rsid w:val="000032F9"/>
    <w:rsid w:val="00003472"/>
    <w:rsid w:val="00003786"/>
    <w:rsid w:val="00003EA2"/>
    <w:rsid w:val="00005227"/>
    <w:rsid w:val="00005DFC"/>
    <w:rsid w:val="00006662"/>
    <w:rsid w:val="000109DA"/>
    <w:rsid w:val="00011553"/>
    <w:rsid w:val="00011E28"/>
    <w:rsid w:val="00012108"/>
    <w:rsid w:val="00012235"/>
    <w:rsid w:val="0001449C"/>
    <w:rsid w:val="00015785"/>
    <w:rsid w:val="00016A22"/>
    <w:rsid w:val="000203C3"/>
    <w:rsid w:val="00021248"/>
    <w:rsid w:val="00021728"/>
    <w:rsid w:val="00021843"/>
    <w:rsid w:val="000228C3"/>
    <w:rsid w:val="00030069"/>
    <w:rsid w:val="000306BF"/>
    <w:rsid w:val="00030786"/>
    <w:rsid w:val="000329B1"/>
    <w:rsid w:val="00032A3D"/>
    <w:rsid w:val="00040498"/>
    <w:rsid w:val="00041758"/>
    <w:rsid w:val="000450F2"/>
    <w:rsid w:val="00045271"/>
    <w:rsid w:val="000455F9"/>
    <w:rsid w:val="00045C49"/>
    <w:rsid w:val="0005267D"/>
    <w:rsid w:val="0005369B"/>
    <w:rsid w:val="00053956"/>
    <w:rsid w:val="0005464E"/>
    <w:rsid w:val="000546D4"/>
    <w:rsid w:val="00054CC5"/>
    <w:rsid w:val="00055C6F"/>
    <w:rsid w:val="00056CC0"/>
    <w:rsid w:val="000605A4"/>
    <w:rsid w:val="00061E18"/>
    <w:rsid w:val="0006319B"/>
    <w:rsid w:val="000631EE"/>
    <w:rsid w:val="00063265"/>
    <w:rsid w:val="000652AF"/>
    <w:rsid w:val="00065448"/>
    <w:rsid w:val="000658C6"/>
    <w:rsid w:val="00066924"/>
    <w:rsid w:val="00070344"/>
    <w:rsid w:val="000716B5"/>
    <w:rsid w:val="0007397C"/>
    <w:rsid w:val="00073DF1"/>
    <w:rsid w:val="00074303"/>
    <w:rsid w:val="00074D4F"/>
    <w:rsid w:val="00074EFD"/>
    <w:rsid w:val="000807FF"/>
    <w:rsid w:val="00080D24"/>
    <w:rsid w:val="00081A75"/>
    <w:rsid w:val="00082395"/>
    <w:rsid w:val="0008239C"/>
    <w:rsid w:val="0008438D"/>
    <w:rsid w:val="000857E2"/>
    <w:rsid w:val="000877E7"/>
    <w:rsid w:val="00091089"/>
    <w:rsid w:val="00091CB4"/>
    <w:rsid w:val="00092ECF"/>
    <w:rsid w:val="000A08EB"/>
    <w:rsid w:val="000A0F42"/>
    <w:rsid w:val="000A3629"/>
    <w:rsid w:val="000A42D8"/>
    <w:rsid w:val="000A4764"/>
    <w:rsid w:val="000A5DA7"/>
    <w:rsid w:val="000A7AB4"/>
    <w:rsid w:val="000A7D2D"/>
    <w:rsid w:val="000B0CA2"/>
    <w:rsid w:val="000B2279"/>
    <w:rsid w:val="000B22E1"/>
    <w:rsid w:val="000B2344"/>
    <w:rsid w:val="000B365D"/>
    <w:rsid w:val="000B542C"/>
    <w:rsid w:val="000B56EC"/>
    <w:rsid w:val="000B65D3"/>
    <w:rsid w:val="000B6748"/>
    <w:rsid w:val="000B76DC"/>
    <w:rsid w:val="000B7994"/>
    <w:rsid w:val="000B79A7"/>
    <w:rsid w:val="000B7AD5"/>
    <w:rsid w:val="000C081C"/>
    <w:rsid w:val="000C3514"/>
    <w:rsid w:val="000C37DA"/>
    <w:rsid w:val="000C3C77"/>
    <w:rsid w:val="000C400A"/>
    <w:rsid w:val="000C5604"/>
    <w:rsid w:val="000D0184"/>
    <w:rsid w:val="000D1A7A"/>
    <w:rsid w:val="000D1C60"/>
    <w:rsid w:val="000D22DB"/>
    <w:rsid w:val="000D24D2"/>
    <w:rsid w:val="000D2CC1"/>
    <w:rsid w:val="000D31D6"/>
    <w:rsid w:val="000D3A5D"/>
    <w:rsid w:val="000D419F"/>
    <w:rsid w:val="000D5924"/>
    <w:rsid w:val="000D6A5A"/>
    <w:rsid w:val="000D718A"/>
    <w:rsid w:val="000E0BC5"/>
    <w:rsid w:val="000E26A3"/>
    <w:rsid w:val="000E2DB3"/>
    <w:rsid w:val="000E3A5C"/>
    <w:rsid w:val="000E539D"/>
    <w:rsid w:val="000E5FCF"/>
    <w:rsid w:val="000E6705"/>
    <w:rsid w:val="000E676E"/>
    <w:rsid w:val="000F0B42"/>
    <w:rsid w:val="000F27B1"/>
    <w:rsid w:val="000F46B9"/>
    <w:rsid w:val="000F4A8B"/>
    <w:rsid w:val="0010046D"/>
    <w:rsid w:val="00100630"/>
    <w:rsid w:val="00101CE7"/>
    <w:rsid w:val="00102DCB"/>
    <w:rsid w:val="001075A3"/>
    <w:rsid w:val="00110473"/>
    <w:rsid w:val="00112E9C"/>
    <w:rsid w:val="001137C0"/>
    <w:rsid w:val="0011390D"/>
    <w:rsid w:val="00115CCF"/>
    <w:rsid w:val="001161B5"/>
    <w:rsid w:val="00117701"/>
    <w:rsid w:val="001210CA"/>
    <w:rsid w:val="00122C9E"/>
    <w:rsid w:val="00127208"/>
    <w:rsid w:val="00127333"/>
    <w:rsid w:val="00130141"/>
    <w:rsid w:val="0014125C"/>
    <w:rsid w:val="00141D7B"/>
    <w:rsid w:val="001426C1"/>
    <w:rsid w:val="00142704"/>
    <w:rsid w:val="00144452"/>
    <w:rsid w:val="00146E12"/>
    <w:rsid w:val="00147AB4"/>
    <w:rsid w:val="0015223C"/>
    <w:rsid w:val="00155A73"/>
    <w:rsid w:val="0016014F"/>
    <w:rsid w:val="00160B71"/>
    <w:rsid w:val="00163757"/>
    <w:rsid w:val="001646FC"/>
    <w:rsid w:val="00164C32"/>
    <w:rsid w:val="00164F4C"/>
    <w:rsid w:val="0016590D"/>
    <w:rsid w:val="00166775"/>
    <w:rsid w:val="00170790"/>
    <w:rsid w:val="00171CD4"/>
    <w:rsid w:val="00171CEF"/>
    <w:rsid w:val="00171CF2"/>
    <w:rsid w:val="00175349"/>
    <w:rsid w:val="00175484"/>
    <w:rsid w:val="00175929"/>
    <w:rsid w:val="00180B06"/>
    <w:rsid w:val="00183CED"/>
    <w:rsid w:val="00183E04"/>
    <w:rsid w:val="00183ECC"/>
    <w:rsid w:val="00184C89"/>
    <w:rsid w:val="00185A7D"/>
    <w:rsid w:val="00186393"/>
    <w:rsid w:val="00186D1B"/>
    <w:rsid w:val="0019186A"/>
    <w:rsid w:val="00191EA7"/>
    <w:rsid w:val="00194140"/>
    <w:rsid w:val="0019460F"/>
    <w:rsid w:val="001956FA"/>
    <w:rsid w:val="00197BD0"/>
    <w:rsid w:val="001A25D7"/>
    <w:rsid w:val="001A3C10"/>
    <w:rsid w:val="001A51C5"/>
    <w:rsid w:val="001A5726"/>
    <w:rsid w:val="001A67E2"/>
    <w:rsid w:val="001A6F7A"/>
    <w:rsid w:val="001A75B0"/>
    <w:rsid w:val="001B02BC"/>
    <w:rsid w:val="001B1BC5"/>
    <w:rsid w:val="001B4730"/>
    <w:rsid w:val="001B58C4"/>
    <w:rsid w:val="001B5C97"/>
    <w:rsid w:val="001B6E55"/>
    <w:rsid w:val="001B7497"/>
    <w:rsid w:val="001C0D44"/>
    <w:rsid w:val="001C26E4"/>
    <w:rsid w:val="001C611D"/>
    <w:rsid w:val="001C679E"/>
    <w:rsid w:val="001C6C3F"/>
    <w:rsid w:val="001D0B47"/>
    <w:rsid w:val="001D0E8F"/>
    <w:rsid w:val="001D1DC0"/>
    <w:rsid w:val="001D281C"/>
    <w:rsid w:val="001D41B1"/>
    <w:rsid w:val="001D649C"/>
    <w:rsid w:val="001D7014"/>
    <w:rsid w:val="001E0FA7"/>
    <w:rsid w:val="001E2796"/>
    <w:rsid w:val="001E2EC6"/>
    <w:rsid w:val="001E2F71"/>
    <w:rsid w:val="001E50A7"/>
    <w:rsid w:val="001E66F5"/>
    <w:rsid w:val="001E76EB"/>
    <w:rsid w:val="001F08BB"/>
    <w:rsid w:val="001F3395"/>
    <w:rsid w:val="001F3467"/>
    <w:rsid w:val="001F65CC"/>
    <w:rsid w:val="001F67FF"/>
    <w:rsid w:val="001F6E73"/>
    <w:rsid w:val="00201A0B"/>
    <w:rsid w:val="00201B21"/>
    <w:rsid w:val="00201D73"/>
    <w:rsid w:val="00205401"/>
    <w:rsid w:val="00205F4A"/>
    <w:rsid w:val="002071CD"/>
    <w:rsid w:val="00213D0C"/>
    <w:rsid w:val="0021677E"/>
    <w:rsid w:val="00216DEB"/>
    <w:rsid w:val="002177F7"/>
    <w:rsid w:val="00217D76"/>
    <w:rsid w:val="00221241"/>
    <w:rsid w:val="0022394F"/>
    <w:rsid w:val="0022432A"/>
    <w:rsid w:val="0022575C"/>
    <w:rsid w:val="00225999"/>
    <w:rsid w:val="0023231C"/>
    <w:rsid w:val="0023450C"/>
    <w:rsid w:val="0023474A"/>
    <w:rsid w:val="00235FE7"/>
    <w:rsid w:val="002363D7"/>
    <w:rsid w:val="00236D0D"/>
    <w:rsid w:val="00236F19"/>
    <w:rsid w:val="002379BB"/>
    <w:rsid w:val="002405F3"/>
    <w:rsid w:val="00241B15"/>
    <w:rsid w:val="00242C8A"/>
    <w:rsid w:val="00243315"/>
    <w:rsid w:val="00244D89"/>
    <w:rsid w:val="00246495"/>
    <w:rsid w:val="00247C47"/>
    <w:rsid w:val="00247D38"/>
    <w:rsid w:val="002513C6"/>
    <w:rsid w:val="00251C98"/>
    <w:rsid w:val="00251F1C"/>
    <w:rsid w:val="002536FA"/>
    <w:rsid w:val="00254DC8"/>
    <w:rsid w:val="00254ECE"/>
    <w:rsid w:val="00256054"/>
    <w:rsid w:val="0025626D"/>
    <w:rsid w:val="002579EA"/>
    <w:rsid w:val="0026091F"/>
    <w:rsid w:val="00261960"/>
    <w:rsid w:val="00262FFF"/>
    <w:rsid w:val="002639B5"/>
    <w:rsid w:val="002664D8"/>
    <w:rsid w:val="00266805"/>
    <w:rsid w:val="00266C88"/>
    <w:rsid w:val="00271769"/>
    <w:rsid w:val="00271F6A"/>
    <w:rsid w:val="00272D14"/>
    <w:rsid w:val="0027354A"/>
    <w:rsid w:val="00273858"/>
    <w:rsid w:val="002746A8"/>
    <w:rsid w:val="00274748"/>
    <w:rsid w:val="00275AFD"/>
    <w:rsid w:val="00277BC3"/>
    <w:rsid w:val="00285070"/>
    <w:rsid w:val="00285112"/>
    <w:rsid w:val="002860F2"/>
    <w:rsid w:val="002905DE"/>
    <w:rsid w:val="00290B4B"/>
    <w:rsid w:val="002928C2"/>
    <w:rsid w:val="002938F4"/>
    <w:rsid w:val="002949F9"/>
    <w:rsid w:val="00295685"/>
    <w:rsid w:val="002959E9"/>
    <w:rsid w:val="002A1A92"/>
    <w:rsid w:val="002A21B9"/>
    <w:rsid w:val="002A245A"/>
    <w:rsid w:val="002A29E2"/>
    <w:rsid w:val="002A355C"/>
    <w:rsid w:val="002A3D56"/>
    <w:rsid w:val="002A49BF"/>
    <w:rsid w:val="002A4B04"/>
    <w:rsid w:val="002A5B4B"/>
    <w:rsid w:val="002A5C1A"/>
    <w:rsid w:val="002A654E"/>
    <w:rsid w:val="002B08C4"/>
    <w:rsid w:val="002B0CC1"/>
    <w:rsid w:val="002B1C60"/>
    <w:rsid w:val="002B34A1"/>
    <w:rsid w:val="002B35CA"/>
    <w:rsid w:val="002B362E"/>
    <w:rsid w:val="002C1610"/>
    <w:rsid w:val="002C2E5B"/>
    <w:rsid w:val="002C41D6"/>
    <w:rsid w:val="002C4A46"/>
    <w:rsid w:val="002C60AA"/>
    <w:rsid w:val="002C6F0D"/>
    <w:rsid w:val="002C75D7"/>
    <w:rsid w:val="002D0941"/>
    <w:rsid w:val="002D10E7"/>
    <w:rsid w:val="002D14AD"/>
    <w:rsid w:val="002D196C"/>
    <w:rsid w:val="002D1C2C"/>
    <w:rsid w:val="002D22B2"/>
    <w:rsid w:val="002D3914"/>
    <w:rsid w:val="002D3C49"/>
    <w:rsid w:val="002D5F7D"/>
    <w:rsid w:val="002D6B4D"/>
    <w:rsid w:val="002E188A"/>
    <w:rsid w:val="002E374A"/>
    <w:rsid w:val="002E4EF5"/>
    <w:rsid w:val="002E5795"/>
    <w:rsid w:val="002E58C9"/>
    <w:rsid w:val="002E6E79"/>
    <w:rsid w:val="002E7A4B"/>
    <w:rsid w:val="002E7A76"/>
    <w:rsid w:val="002F05E2"/>
    <w:rsid w:val="002F0AEC"/>
    <w:rsid w:val="002F27ED"/>
    <w:rsid w:val="002F7968"/>
    <w:rsid w:val="00301397"/>
    <w:rsid w:val="00301D64"/>
    <w:rsid w:val="003029DC"/>
    <w:rsid w:val="00304146"/>
    <w:rsid w:val="00304280"/>
    <w:rsid w:val="00306420"/>
    <w:rsid w:val="003074CE"/>
    <w:rsid w:val="003078AD"/>
    <w:rsid w:val="00310C16"/>
    <w:rsid w:val="00311D1A"/>
    <w:rsid w:val="00312FFB"/>
    <w:rsid w:val="00314371"/>
    <w:rsid w:val="00315097"/>
    <w:rsid w:val="00315AB8"/>
    <w:rsid w:val="00317CAA"/>
    <w:rsid w:val="00320B51"/>
    <w:rsid w:val="00321E89"/>
    <w:rsid w:val="0032266E"/>
    <w:rsid w:val="00324686"/>
    <w:rsid w:val="003325ED"/>
    <w:rsid w:val="00334D2E"/>
    <w:rsid w:val="00336511"/>
    <w:rsid w:val="00337A38"/>
    <w:rsid w:val="0034082E"/>
    <w:rsid w:val="0034097F"/>
    <w:rsid w:val="00343927"/>
    <w:rsid w:val="00343B22"/>
    <w:rsid w:val="00344E3A"/>
    <w:rsid w:val="003463BB"/>
    <w:rsid w:val="00347E80"/>
    <w:rsid w:val="00351732"/>
    <w:rsid w:val="00354024"/>
    <w:rsid w:val="003601F6"/>
    <w:rsid w:val="00360494"/>
    <w:rsid w:val="003613A8"/>
    <w:rsid w:val="00361B46"/>
    <w:rsid w:val="003626D1"/>
    <w:rsid w:val="00362A23"/>
    <w:rsid w:val="003635FB"/>
    <w:rsid w:val="003641A2"/>
    <w:rsid w:val="003648B1"/>
    <w:rsid w:val="00366641"/>
    <w:rsid w:val="00366760"/>
    <w:rsid w:val="00366C23"/>
    <w:rsid w:val="003679B2"/>
    <w:rsid w:val="00367CA0"/>
    <w:rsid w:val="003708A9"/>
    <w:rsid w:val="00372405"/>
    <w:rsid w:val="00377FC9"/>
    <w:rsid w:val="003821E0"/>
    <w:rsid w:val="003829E2"/>
    <w:rsid w:val="00382B48"/>
    <w:rsid w:val="00382C44"/>
    <w:rsid w:val="0038479F"/>
    <w:rsid w:val="0038613B"/>
    <w:rsid w:val="00386760"/>
    <w:rsid w:val="003901C4"/>
    <w:rsid w:val="00391543"/>
    <w:rsid w:val="003915E2"/>
    <w:rsid w:val="00394A60"/>
    <w:rsid w:val="00395629"/>
    <w:rsid w:val="003963F4"/>
    <w:rsid w:val="00397420"/>
    <w:rsid w:val="00397D29"/>
    <w:rsid w:val="003A0623"/>
    <w:rsid w:val="003A160A"/>
    <w:rsid w:val="003A1D78"/>
    <w:rsid w:val="003A1E3A"/>
    <w:rsid w:val="003A31DE"/>
    <w:rsid w:val="003A38AF"/>
    <w:rsid w:val="003A48F6"/>
    <w:rsid w:val="003A4D9C"/>
    <w:rsid w:val="003A6AB6"/>
    <w:rsid w:val="003A764C"/>
    <w:rsid w:val="003B01E1"/>
    <w:rsid w:val="003B04A1"/>
    <w:rsid w:val="003B0AD8"/>
    <w:rsid w:val="003B1420"/>
    <w:rsid w:val="003B5835"/>
    <w:rsid w:val="003B5E76"/>
    <w:rsid w:val="003C09CE"/>
    <w:rsid w:val="003C22C6"/>
    <w:rsid w:val="003C290C"/>
    <w:rsid w:val="003C7056"/>
    <w:rsid w:val="003C7600"/>
    <w:rsid w:val="003D0332"/>
    <w:rsid w:val="003D0DE2"/>
    <w:rsid w:val="003D2902"/>
    <w:rsid w:val="003D384E"/>
    <w:rsid w:val="003D4F29"/>
    <w:rsid w:val="003D7304"/>
    <w:rsid w:val="003E38DA"/>
    <w:rsid w:val="003E71E4"/>
    <w:rsid w:val="003F00F2"/>
    <w:rsid w:val="003F0630"/>
    <w:rsid w:val="003F22BB"/>
    <w:rsid w:val="003F26A5"/>
    <w:rsid w:val="003F26B3"/>
    <w:rsid w:val="003F3196"/>
    <w:rsid w:val="00402A0B"/>
    <w:rsid w:val="004044CC"/>
    <w:rsid w:val="00405232"/>
    <w:rsid w:val="004057D2"/>
    <w:rsid w:val="00406C85"/>
    <w:rsid w:val="004114DE"/>
    <w:rsid w:val="00413D4A"/>
    <w:rsid w:val="004150F3"/>
    <w:rsid w:val="00415AB9"/>
    <w:rsid w:val="00417E15"/>
    <w:rsid w:val="0042220C"/>
    <w:rsid w:val="0042297C"/>
    <w:rsid w:val="00427574"/>
    <w:rsid w:val="004311C6"/>
    <w:rsid w:val="00431A2F"/>
    <w:rsid w:val="00431B0B"/>
    <w:rsid w:val="00432784"/>
    <w:rsid w:val="00432C6F"/>
    <w:rsid w:val="004331FD"/>
    <w:rsid w:val="004344AE"/>
    <w:rsid w:val="00435451"/>
    <w:rsid w:val="004358D3"/>
    <w:rsid w:val="00437D0F"/>
    <w:rsid w:val="004409C7"/>
    <w:rsid w:val="0044133C"/>
    <w:rsid w:val="00442D95"/>
    <w:rsid w:val="00446693"/>
    <w:rsid w:val="004501FE"/>
    <w:rsid w:val="00451F2A"/>
    <w:rsid w:val="00452F00"/>
    <w:rsid w:val="00453DBB"/>
    <w:rsid w:val="00453EB3"/>
    <w:rsid w:val="00453F0B"/>
    <w:rsid w:val="004553E4"/>
    <w:rsid w:val="00456445"/>
    <w:rsid w:val="00456857"/>
    <w:rsid w:val="00456AC2"/>
    <w:rsid w:val="00460646"/>
    <w:rsid w:val="00461687"/>
    <w:rsid w:val="00463B79"/>
    <w:rsid w:val="004645B8"/>
    <w:rsid w:val="0046490D"/>
    <w:rsid w:val="0046498E"/>
    <w:rsid w:val="00464E64"/>
    <w:rsid w:val="004659AD"/>
    <w:rsid w:val="00467269"/>
    <w:rsid w:val="004707AF"/>
    <w:rsid w:val="0047180E"/>
    <w:rsid w:val="00472149"/>
    <w:rsid w:val="00472CED"/>
    <w:rsid w:val="00472F3E"/>
    <w:rsid w:val="00473ABB"/>
    <w:rsid w:val="004745C8"/>
    <w:rsid w:val="0047462F"/>
    <w:rsid w:val="00476616"/>
    <w:rsid w:val="00477D27"/>
    <w:rsid w:val="0048089F"/>
    <w:rsid w:val="004812CF"/>
    <w:rsid w:val="0048239A"/>
    <w:rsid w:val="00483506"/>
    <w:rsid w:val="00483743"/>
    <w:rsid w:val="00483C21"/>
    <w:rsid w:val="00486322"/>
    <w:rsid w:val="00491109"/>
    <w:rsid w:val="00494682"/>
    <w:rsid w:val="00495883"/>
    <w:rsid w:val="0049721E"/>
    <w:rsid w:val="004A016F"/>
    <w:rsid w:val="004A034A"/>
    <w:rsid w:val="004A111B"/>
    <w:rsid w:val="004A1875"/>
    <w:rsid w:val="004A4149"/>
    <w:rsid w:val="004A4CCF"/>
    <w:rsid w:val="004A5477"/>
    <w:rsid w:val="004A6F43"/>
    <w:rsid w:val="004A7CBD"/>
    <w:rsid w:val="004B085E"/>
    <w:rsid w:val="004B22ED"/>
    <w:rsid w:val="004B249F"/>
    <w:rsid w:val="004B6172"/>
    <w:rsid w:val="004B7B99"/>
    <w:rsid w:val="004C0B2F"/>
    <w:rsid w:val="004C34CD"/>
    <w:rsid w:val="004C3F7A"/>
    <w:rsid w:val="004C5313"/>
    <w:rsid w:val="004C597B"/>
    <w:rsid w:val="004D0A23"/>
    <w:rsid w:val="004D2F9A"/>
    <w:rsid w:val="004D57C3"/>
    <w:rsid w:val="004D6344"/>
    <w:rsid w:val="004D72E3"/>
    <w:rsid w:val="004D7CD7"/>
    <w:rsid w:val="004E0BED"/>
    <w:rsid w:val="004E11FE"/>
    <w:rsid w:val="004E30B9"/>
    <w:rsid w:val="004E5307"/>
    <w:rsid w:val="004E5DFD"/>
    <w:rsid w:val="004E6C80"/>
    <w:rsid w:val="004E75F0"/>
    <w:rsid w:val="004E79F6"/>
    <w:rsid w:val="004E7B51"/>
    <w:rsid w:val="004F0814"/>
    <w:rsid w:val="004F0878"/>
    <w:rsid w:val="004F0BC6"/>
    <w:rsid w:val="004F25BC"/>
    <w:rsid w:val="004F3682"/>
    <w:rsid w:val="004F4A59"/>
    <w:rsid w:val="004F4C3E"/>
    <w:rsid w:val="004F529B"/>
    <w:rsid w:val="004F6906"/>
    <w:rsid w:val="00501FC9"/>
    <w:rsid w:val="0050221B"/>
    <w:rsid w:val="0050259B"/>
    <w:rsid w:val="0050285A"/>
    <w:rsid w:val="00503824"/>
    <w:rsid w:val="00506FBD"/>
    <w:rsid w:val="00510A8B"/>
    <w:rsid w:val="00510B99"/>
    <w:rsid w:val="00510D16"/>
    <w:rsid w:val="00514AFC"/>
    <w:rsid w:val="00515A90"/>
    <w:rsid w:val="0051607A"/>
    <w:rsid w:val="005208FB"/>
    <w:rsid w:val="00523EB4"/>
    <w:rsid w:val="0052517E"/>
    <w:rsid w:val="00530AF1"/>
    <w:rsid w:val="00530FE4"/>
    <w:rsid w:val="0053247B"/>
    <w:rsid w:val="0053256A"/>
    <w:rsid w:val="00532782"/>
    <w:rsid w:val="005328F8"/>
    <w:rsid w:val="00533EAC"/>
    <w:rsid w:val="0053533B"/>
    <w:rsid w:val="00536D80"/>
    <w:rsid w:val="00537245"/>
    <w:rsid w:val="005374AE"/>
    <w:rsid w:val="005405D4"/>
    <w:rsid w:val="00542907"/>
    <w:rsid w:val="005441F8"/>
    <w:rsid w:val="00545E09"/>
    <w:rsid w:val="00550CBE"/>
    <w:rsid w:val="0055266C"/>
    <w:rsid w:val="005526B6"/>
    <w:rsid w:val="00554E3D"/>
    <w:rsid w:val="00555A07"/>
    <w:rsid w:val="0055722D"/>
    <w:rsid w:val="005577A5"/>
    <w:rsid w:val="00562981"/>
    <w:rsid w:val="005634D4"/>
    <w:rsid w:val="0056544B"/>
    <w:rsid w:val="00566170"/>
    <w:rsid w:val="005661DE"/>
    <w:rsid w:val="0056767E"/>
    <w:rsid w:val="00571826"/>
    <w:rsid w:val="00574E5F"/>
    <w:rsid w:val="005750D9"/>
    <w:rsid w:val="005766EB"/>
    <w:rsid w:val="0057695C"/>
    <w:rsid w:val="00576C7D"/>
    <w:rsid w:val="00577AE4"/>
    <w:rsid w:val="00580318"/>
    <w:rsid w:val="005805EB"/>
    <w:rsid w:val="00582665"/>
    <w:rsid w:val="00585476"/>
    <w:rsid w:val="005863E8"/>
    <w:rsid w:val="00586E6B"/>
    <w:rsid w:val="00587F8C"/>
    <w:rsid w:val="0059059D"/>
    <w:rsid w:val="00590EA4"/>
    <w:rsid w:val="00591B6E"/>
    <w:rsid w:val="00592E3C"/>
    <w:rsid w:val="0059389F"/>
    <w:rsid w:val="00595DCB"/>
    <w:rsid w:val="00597328"/>
    <w:rsid w:val="005A05CF"/>
    <w:rsid w:val="005A197E"/>
    <w:rsid w:val="005A2FDD"/>
    <w:rsid w:val="005A5DC9"/>
    <w:rsid w:val="005B1D73"/>
    <w:rsid w:val="005B2E61"/>
    <w:rsid w:val="005B482B"/>
    <w:rsid w:val="005B4B85"/>
    <w:rsid w:val="005B5B03"/>
    <w:rsid w:val="005C0217"/>
    <w:rsid w:val="005C0A49"/>
    <w:rsid w:val="005C26B5"/>
    <w:rsid w:val="005C2C26"/>
    <w:rsid w:val="005C41FD"/>
    <w:rsid w:val="005C43C0"/>
    <w:rsid w:val="005C5C1E"/>
    <w:rsid w:val="005C600D"/>
    <w:rsid w:val="005C662C"/>
    <w:rsid w:val="005D12C1"/>
    <w:rsid w:val="005D2A2B"/>
    <w:rsid w:val="005D30DB"/>
    <w:rsid w:val="005D6516"/>
    <w:rsid w:val="005E29D4"/>
    <w:rsid w:val="005E2EE0"/>
    <w:rsid w:val="005E3124"/>
    <w:rsid w:val="005E51FC"/>
    <w:rsid w:val="005E5B3C"/>
    <w:rsid w:val="005E5B42"/>
    <w:rsid w:val="005E6192"/>
    <w:rsid w:val="005F082A"/>
    <w:rsid w:val="005F2BEA"/>
    <w:rsid w:val="005F33B0"/>
    <w:rsid w:val="005F4058"/>
    <w:rsid w:val="005F6F72"/>
    <w:rsid w:val="005F739D"/>
    <w:rsid w:val="005F796E"/>
    <w:rsid w:val="00600FA4"/>
    <w:rsid w:val="006010DA"/>
    <w:rsid w:val="00602367"/>
    <w:rsid w:val="006046D7"/>
    <w:rsid w:val="00605A1C"/>
    <w:rsid w:val="00606C8F"/>
    <w:rsid w:val="00607850"/>
    <w:rsid w:val="00611761"/>
    <w:rsid w:val="00612B93"/>
    <w:rsid w:val="00614055"/>
    <w:rsid w:val="006146D6"/>
    <w:rsid w:val="00616772"/>
    <w:rsid w:val="00616EA4"/>
    <w:rsid w:val="0062234D"/>
    <w:rsid w:val="006227D5"/>
    <w:rsid w:val="006228F7"/>
    <w:rsid w:val="00624195"/>
    <w:rsid w:val="006333FF"/>
    <w:rsid w:val="006342E7"/>
    <w:rsid w:val="00634469"/>
    <w:rsid w:val="0063459D"/>
    <w:rsid w:val="00634708"/>
    <w:rsid w:val="00635ECE"/>
    <w:rsid w:val="006375D6"/>
    <w:rsid w:val="00637DA2"/>
    <w:rsid w:val="00637F9C"/>
    <w:rsid w:val="006434A9"/>
    <w:rsid w:val="00645442"/>
    <w:rsid w:val="0064688B"/>
    <w:rsid w:val="006473D1"/>
    <w:rsid w:val="0064766D"/>
    <w:rsid w:val="006476C1"/>
    <w:rsid w:val="006502CA"/>
    <w:rsid w:val="0065096D"/>
    <w:rsid w:val="00652D7E"/>
    <w:rsid w:val="00654C5B"/>
    <w:rsid w:val="0065501E"/>
    <w:rsid w:val="00655AB2"/>
    <w:rsid w:val="00655F4A"/>
    <w:rsid w:val="00656471"/>
    <w:rsid w:val="00660A1F"/>
    <w:rsid w:val="00661FD9"/>
    <w:rsid w:val="00662CAE"/>
    <w:rsid w:val="00662DA0"/>
    <w:rsid w:val="00664826"/>
    <w:rsid w:val="00671A0B"/>
    <w:rsid w:val="00674627"/>
    <w:rsid w:val="00674855"/>
    <w:rsid w:val="00675113"/>
    <w:rsid w:val="00680E82"/>
    <w:rsid w:val="0068129B"/>
    <w:rsid w:val="006815C1"/>
    <w:rsid w:val="00682251"/>
    <w:rsid w:val="00682477"/>
    <w:rsid w:val="006829D1"/>
    <w:rsid w:val="00683F5D"/>
    <w:rsid w:val="006849EF"/>
    <w:rsid w:val="00687893"/>
    <w:rsid w:val="006900C1"/>
    <w:rsid w:val="006915FE"/>
    <w:rsid w:val="00692E99"/>
    <w:rsid w:val="0069332F"/>
    <w:rsid w:val="006946E6"/>
    <w:rsid w:val="00695029"/>
    <w:rsid w:val="00695143"/>
    <w:rsid w:val="00696300"/>
    <w:rsid w:val="0069676F"/>
    <w:rsid w:val="00696B84"/>
    <w:rsid w:val="006A16AE"/>
    <w:rsid w:val="006A3818"/>
    <w:rsid w:val="006A3E45"/>
    <w:rsid w:val="006A6F92"/>
    <w:rsid w:val="006A71EE"/>
    <w:rsid w:val="006B1136"/>
    <w:rsid w:val="006B3FED"/>
    <w:rsid w:val="006B41B0"/>
    <w:rsid w:val="006B52F9"/>
    <w:rsid w:val="006B6CCB"/>
    <w:rsid w:val="006B6D04"/>
    <w:rsid w:val="006B7D7B"/>
    <w:rsid w:val="006C36D1"/>
    <w:rsid w:val="006C5E45"/>
    <w:rsid w:val="006D0D82"/>
    <w:rsid w:val="006D1A55"/>
    <w:rsid w:val="006D55C9"/>
    <w:rsid w:val="006D6D46"/>
    <w:rsid w:val="006D7EAE"/>
    <w:rsid w:val="006E1165"/>
    <w:rsid w:val="006E3213"/>
    <w:rsid w:val="006E6127"/>
    <w:rsid w:val="006E7B7D"/>
    <w:rsid w:val="006F0BFF"/>
    <w:rsid w:val="006F0C6B"/>
    <w:rsid w:val="006F24FE"/>
    <w:rsid w:val="006F2626"/>
    <w:rsid w:val="006F27A4"/>
    <w:rsid w:val="006F3DA8"/>
    <w:rsid w:val="006F4C1A"/>
    <w:rsid w:val="006F4CE1"/>
    <w:rsid w:val="006F4D7C"/>
    <w:rsid w:val="006F68B8"/>
    <w:rsid w:val="006F6927"/>
    <w:rsid w:val="006F6971"/>
    <w:rsid w:val="00703FC8"/>
    <w:rsid w:val="00706538"/>
    <w:rsid w:val="0071097F"/>
    <w:rsid w:val="007125FD"/>
    <w:rsid w:val="00712BAF"/>
    <w:rsid w:val="007130DB"/>
    <w:rsid w:val="00713344"/>
    <w:rsid w:val="00716521"/>
    <w:rsid w:val="00716BCF"/>
    <w:rsid w:val="0072235E"/>
    <w:rsid w:val="007225D0"/>
    <w:rsid w:val="007225F3"/>
    <w:rsid w:val="007241EF"/>
    <w:rsid w:val="00725A88"/>
    <w:rsid w:val="00725C12"/>
    <w:rsid w:val="00730209"/>
    <w:rsid w:val="007304A3"/>
    <w:rsid w:val="0073266D"/>
    <w:rsid w:val="00732F4F"/>
    <w:rsid w:val="0073466A"/>
    <w:rsid w:val="00734BAE"/>
    <w:rsid w:val="00734CF3"/>
    <w:rsid w:val="007353B8"/>
    <w:rsid w:val="00736D62"/>
    <w:rsid w:val="00736D94"/>
    <w:rsid w:val="007370AE"/>
    <w:rsid w:val="007373B6"/>
    <w:rsid w:val="00741B63"/>
    <w:rsid w:val="007422C6"/>
    <w:rsid w:val="00743813"/>
    <w:rsid w:val="0074397E"/>
    <w:rsid w:val="00743A44"/>
    <w:rsid w:val="0074421C"/>
    <w:rsid w:val="00745164"/>
    <w:rsid w:val="00745623"/>
    <w:rsid w:val="0074702C"/>
    <w:rsid w:val="007513E8"/>
    <w:rsid w:val="007533B3"/>
    <w:rsid w:val="00755E45"/>
    <w:rsid w:val="0076227C"/>
    <w:rsid w:val="00763693"/>
    <w:rsid w:val="00763E24"/>
    <w:rsid w:val="007652DF"/>
    <w:rsid w:val="00766D0E"/>
    <w:rsid w:val="00766EF1"/>
    <w:rsid w:val="007672C6"/>
    <w:rsid w:val="00770698"/>
    <w:rsid w:val="0077140C"/>
    <w:rsid w:val="007716A4"/>
    <w:rsid w:val="00772D02"/>
    <w:rsid w:val="00775035"/>
    <w:rsid w:val="00775FCD"/>
    <w:rsid w:val="007777B9"/>
    <w:rsid w:val="007849C5"/>
    <w:rsid w:val="00784D09"/>
    <w:rsid w:val="0078567B"/>
    <w:rsid w:val="00786028"/>
    <w:rsid w:val="00786515"/>
    <w:rsid w:val="007908FC"/>
    <w:rsid w:val="00790D93"/>
    <w:rsid w:val="00790DB2"/>
    <w:rsid w:val="00790E3B"/>
    <w:rsid w:val="007911D2"/>
    <w:rsid w:val="00791F33"/>
    <w:rsid w:val="0079223B"/>
    <w:rsid w:val="00793493"/>
    <w:rsid w:val="0079454E"/>
    <w:rsid w:val="007956BC"/>
    <w:rsid w:val="00796D51"/>
    <w:rsid w:val="00797022"/>
    <w:rsid w:val="00797420"/>
    <w:rsid w:val="00797C0E"/>
    <w:rsid w:val="007A0C74"/>
    <w:rsid w:val="007A16B6"/>
    <w:rsid w:val="007A2972"/>
    <w:rsid w:val="007A3E53"/>
    <w:rsid w:val="007A413C"/>
    <w:rsid w:val="007A4D1A"/>
    <w:rsid w:val="007A76B0"/>
    <w:rsid w:val="007B0AC5"/>
    <w:rsid w:val="007B21CE"/>
    <w:rsid w:val="007B35A5"/>
    <w:rsid w:val="007B37E5"/>
    <w:rsid w:val="007B4DF4"/>
    <w:rsid w:val="007B6FC3"/>
    <w:rsid w:val="007B7193"/>
    <w:rsid w:val="007B78B6"/>
    <w:rsid w:val="007C013D"/>
    <w:rsid w:val="007C0BB7"/>
    <w:rsid w:val="007C16F9"/>
    <w:rsid w:val="007C3B7F"/>
    <w:rsid w:val="007C502C"/>
    <w:rsid w:val="007C5D0B"/>
    <w:rsid w:val="007C6AC0"/>
    <w:rsid w:val="007C795E"/>
    <w:rsid w:val="007C7F6F"/>
    <w:rsid w:val="007D1BD5"/>
    <w:rsid w:val="007D2BE4"/>
    <w:rsid w:val="007D32D6"/>
    <w:rsid w:val="007D3556"/>
    <w:rsid w:val="007D599C"/>
    <w:rsid w:val="007D69A7"/>
    <w:rsid w:val="007D718D"/>
    <w:rsid w:val="007E087C"/>
    <w:rsid w:val="007E0BCA"/>
    <w:rsid w:val="007E1C79"/>
    <w:rsid w:val="007E262D"/>
    <w:rsid w:val="007E4EAF"/>
    <w:rsid w:val="007F009F"/>
    <w:rsid w:val="007F0633"/>
    <w:rsid w:val="007F1BA8"/>
    <w:rsid w:val="007F27C2"/>
    <w:rsid w:val="007F3424"/>
    <w:rsid w:val="007F5FC1"/>
    <w:rsid w:val="007F74B8"/>
    <w:rsid w:val="008029B8"/>
    <w:rsid w:val="0080496E"/>
    <w:rsid w:val="0080576A"/>
    <w:rsid w:val="00807000"/>
    <w:rsid w:val="00807CBF"/>
    <w:rsid w:val="008102F8"/>
    <w:rsid w:val="00810B9B"/>
    <w:rsid w:val="00811C75"/>
    <w:rsid w:val="00814963"/>
    <w:rsid w:val="00814DB0"/>
    <w:rsid w:val="008160FF"/>
    <w:rsid w:val="00817A56"/>
    <w:rsid w:val="00817A5E"/>
    <w:rsid w:val="00820142"/>
    <w:rsid w:val="008204F3"/>
    <w:rsid w:val="00820757"/>
    <w:rsid w:val="00822CB3"/>
    <w:rsid w:val="00823D59"/>
    <w:rsid w:val="00825CD7"/>
    <w:rsid w:val="00827436"/>
    <w:rsid w:val="00827851"/>
    <w:rsid w:val="00827A4E"/>
    <w:rsid w:val="00827E02"/>
    <w:rsid w:val="008300DF"/>
    <w:rsid w:val="00831374"/>
    <w:rsid w:val="00833DF4"/>
    <w:rsid w:val="00834B49"/>
    <w:rsid w:val="008357E2"/>
    <w:rsid w:val="00835D9A"/>
    <w:rsid w:val="00835EC3"/>
    <w:rsid w:val="00835F90"/>
    <w:rsid w:val="00836B27"/>
    <w:rsid w:val="008373B5"/>
    <w:rsid w:val="00837A59"/>
    <w:rsid w:val="0084252D"/>
    <w:rsid w:val="008442D7"/>
    <w:rsid w:val="00844E72"/>
    <w:rsid w:val="008462CE"/>
    <w:rsid w:val="00850C7A"/>
    <w:rsid w:val="00850FC4"/>
    <w:rsid w:val="0085117A"/>
    <w:rsid w:val="00854448"/>
    <w:rsid w:val="00855BD1"/>
    <w:rsid w:val="008561AC"/>
    <w:rsid w:val="00856CFB"/>
    <w:rsid w:val="00856FA3"/>
    <w:rsid w:val="008573B3"/>
    <w:rsid w:val="008615B4"/>
    <w:rsid w:val="00861838"/>
    <w:rsid w:val="00861D2E"/>
    <w:rsid w:val="00862514"/>
    <w:rsid w:val="00865064"/>
    <w:rsid w:val="008664A7"/>
    <w:rsid w:val="008667B4"/>
    <w:rsid w:val="00866F72"/>
    <w:rsid w:val="008708D9"/>
    <w:rsid w:val="00871678"/>
    <w:rsid w:val="00871E19"/>
    <w:rsid w:val="00873882"/>
    <w:rsid w:val="00880834"/>
    <w:rsid w:val="00880C40"/>
    <w:rsid w:val="0088161C"/>
    <w:rsid w:val="0088178B"/>
    <w:rsid w:val="00884A02"/>
    <w:rsid w:val="008863D9"/>
    <w:rsid w:val="00886558"/>
    <w:rsid w:val="0088749A"/>
    <w:rsid w:val="00890E5D"/>
    <w:rsid w:val="00891130"/>
    <w:rsid w:val="0089186A"/>
    <w:rsid w:val="00894F71"/>
    <w:rsid w:val="00895ECA"/>
    <w:rsid w:val="008A0704"/>
    <w:rsid w:val="008A4BCA"/>
    <w:rsid w:val="008A5911"/>
    <w:rsid w:val="008A6D79"/>
    <w:rsid w:val="008B093D"/>
    <w:rsid w:val="008B1C89"/>
    <w:rsid w:val="008B2A3A"/>
    <w:rsid w:val="008B3340"/>
    <w:rsid w:val="008B4B2F"/>
    <w:rsid w:val="008C0BCD"/>
    <w:rsid w:val="008C0CA7"/>
    <w:rsid w:val="008C1419"/>
    <w:rsid w:val="008C2522"/>
    <w:rsid w:val="008C2CE0"/>
    <w:rsid w:val="008C5D01"/>
    <w:rsid w:val="008C625F"/>
    <w:rsid w:val="008C64A1"/>
    <w:rsid w:val="008C6B80"/>
    <w:rsid w:val="008C6E22"/>
    <w:rsid w:val="008D10E9"/>
    <w:rsid w:val="008D18E0"/>
    <w:rsid w:val="008D2FE5"/>
    <w:rsid w:val="008D34A6"/>
    <w:rsid w:val="008D377A"/>
    <w:rsid w:val="008D4185"/>
    <w:rsid w:val="008D4735"/>
    <w:rsid w:val="008D51E0"/>
    <w:rsid w:val="008D6307"/>
    <w:rsid w:val="008D654A"/>
    <w:rsid w:val="008D6564"/>
    <w:rsid w:val="008D76A3"/>
    <w:rsid w:val="008D7FA5"/>
    <w:rsid w:val="008E04FF"/>
    <w:rsid w:val="008E0EF1"/>
    <w:rsid w:val="008E1C70"/>
    <w:rsid w:val="008E3798"/>
    <w:rsid w:val="008E4EA9"/>
    <w:rsid w:val="008E5A4B"/>
    <w:rsid w:val="008E603D"/>
    <w:rsid w:val="008E7B29"/>
    <w:rsid w:val="008E7EEE"/>
    <w:rsid w:val="008F0E3D"/>
    <w:rsid w:val="008F5B05"/>
    <w:rsid w:val="008F7015"/>
    <w:rsid w:val="008F7120"/>
    <w:rsid w:val="008F767F"/>
    <w:rsid w:val="008F7FA8"/>
    <w:rsid w:val="00900099"/>
    <w:rsid w:val="0090083A"/>
    <w:rsid w:val="0090293F"/>
    <w:rsid w:val="009106FD"/>
    <w:rsid w:val="00915CFC"/>
    <w:rsid w:val="00916134"/>
    <w:rsid w:val="009168F0"/>
    <w:rsid w:val="00916A54"/>
    <w:rsid w:val="00916DA6"/>
    <w:rsid w:val="00916F38"/>
    <w:rsid w:val="00917039"/>
    <w:rsid w:val="009212C4"/>
    <w:rsid w:val="00924D1B"/>
    <w:rsid w:val="0092624D"/>
    <w:rsid w:val="009306E5"/>
    <w:rsid w:val="00931ADD"/>
    <w:rsid w:val="00932256"/>
    <w:rsid w:val="009349D5"/>
    <w:rsid w:val="00934DA8"/>
    <w:rsid w:val="00935039"/>
    <w:rsid w:val="009354CD"/>
    <w:rsid w:val="0093773B"/>
    <w:rsid w:val="00940AF7"/>
    <w:rsid w:val="009418FE"/>
    <w:rsid w:val="00943333"/>
    <w:rsid w:val="00944EBD"/>
    <w:rsid w:val="009450A5"/>
    <w:rsid w:val="00945213"/>
    <w:rsid w:val="00945E49"/>
    <w:rsid w:val="00945E71"/>
    <w:rsid w:val="00946BCA"/>
    <w:rsid w:val="009476A9"/>
    <w:rsid w:val="0095142C"/>
    <w:rsid w:val="009528C0"/>
    <w:rsid w:val="0095333B"/>
    <w:rsid w:val="0095601F"/>
    <w:rsid w:val="0095669F"/>
    <w:rsid w:val="009567E6"/>
    <w:rsid w:val="00961A64"/>
    <w:rsid w:val="00962575"/>
    <w:rsid w:val="00966B92"/>
    <w:rsid w:val="00971D16"/>
    <w:rsid w:val="0097348F"/>
    <w:rsid w:val="0097444E"/>
    <w:rsid w:val="009752DC"/>
    <w:rsid w:val="00975EB2"/>
    <w:rsid w:val="00982002"/>
    <w:rsid w:val="00982736"/>
    <w:rsid w:val="00984A84"/>
    <w:rsid w:val="0099117A"/>
    <w:rsid w:val="00993DC0"/>
    <w:rsid w:val="00997B4B"/>
    <w:rsid w:val="009A1DA9"/>
    <w:rsid w:val="009A4678"/>
    <w:rsid w:val="009A5AAF"/>
    <w:rsid w:val="009A61F3"/>
    <w:rsid w:val="009A7407"/>
    <w:rsid w:val="009B07E7"/>
    <w:rsid w:val="009B1840"/>
    <w:rsid w:val="009B1AFA"/>
    <w:rsid w:val="009B24C6"/>
    <w:rsid w:val="009B3AEB"/>
    <w:rsid w:val="009B3F5D"/>
    <w:rsid w:val="009B4697"/>
    <w:rsid w:val="009B6E8E"/>
    <w:rsid w:val="009B7AA5"/>
    <w:rsid w:val="009C105D"/>
    <w:rsid w:val="009C1A5E"/>
    <w:rsid w:val="009C30EB"/>
    <w:rsid w:val="009D1CE5"/>
    <w:rsid w:val="009D33FF"/>
    <w:rsid w:val="009D4551"/>
    <w:rsid w:val="009E0EE7"/>
    <w:rsid w:val="009E2799"/>
    <w:rsid w:val="009E3309"/>
    <w:rsid w:val="009E41FA"/>
    <w:rsid w:val="009E5E54"/>
    <w:rsid w:val="009E64AE"/>
    <w:rsid w:val="009E688C"/>
    <w:rsid w:val="009F02C6"/>
    <w:rsid w:val="009F0A02"/>
    <w:rsid w:val="009F108B"/>
    <w:rsid w:val="009F1861"/>
    <w:rsid w:val="009F25D6"/>
    <w:rsid w:val="009F26E6"/>
    <w:rsid w:val="009F48E5"/>
    <w:rsid w:val="009F5398"/>
    <w:rsid w:val="009F663A"/>
    <w:rsid w:val="009F680F"/>
    <w:rsid w:val="009F7224"/>
    <w:rsid w:val="009F72B7"/>
    <w:rsid w:val="009F79E1"/>
    <w:rsid w:val="00A0075E"/>
    <w:rsid w:val="00A00B3D"/>
    <w:rsid w:val="00A03B08"/>
    <w:rsid w:val="00A0470B"/>
    <w:rsid w:val="00A06BD9"/>
    <w:rsid w:val="00A07CFE"/>
    <w:rsid w:val="00A10851"/>
    <w:rsid w:val="00A11E81"/>
    <w:rsid w:val="00A1238F"/>
    <w:rsid w:val="00A12664"/>
    <w:rsid w:val="00A130D1"/>
    <w:rsid w:val="00A13740"/>
    <w:rsid w:val="00A13915"/>
    <w:rsid w:val="00A144DB"/>
    <w:rsid w:val="00A146CE"/>
    <w:rsid w:val="00A159CD"/>
    <w:rsid w:val="00A15C15"/>
    <w:rsid w:val="00A16492"/>
    <w:rsid w:val="00A2042E"/>
    <w:rsid w:val="00A20C9B"/>
    <w:rsid w:val="00A21983"/>
    <w:rsid w:val="00A21B47"/>
    <w:rsid w:val="00A226F2"/>
    <w:rsid w:val="00A23129"/>
    <w:rsid w:val="00A237F2"/>
    <w:rsid w:val="00A23BC1"/>
    <w:rsid w:val="00A25CEA"/>
    <w:rsid w:val="00A265A4"/>
    <w:rsid w:val="00A27C25"/>
    <w:rsid w:val="00A27C82"/>
    <w:rsid w:val="00A32AF5"/>
    <w:rsid w:val="00A33BF6"/>
    <w:rsid w:val="00A3481A"/>
    <w:rsid w:val="00A34D91"/>
    <w:rsid w:val="00A3677E"/>
    <w:rsid w:val="00A36F1A"/>
    <w:rsid w:val="00A4157F"/>
    <w:rsid w:val="00A41FB5"/>
    <w:rsid w:val="00A45336"/>
    <w:rsid w:val="00A45B18"/>
    <w:rsid w:val="00A45E04"/>
    <w:rsid w:val="00A52DB9"/>
    <w:rsid w:val="00A55CC5"/>
    <w:rsid w:val="00A63236"/>
    <w:rsid w:val="00A63802"/>
    <w:rsid w:val="00A63CD1"/>
    <w:rsid w:val="00A652BD"/>
    <w:rsid w:val="00A6537A"/>
    <w:rsid w:val="00A67181"/>
    <w:rsid w:val="00A71C89"/>
    <w:rsid w:val="00A7216A"/>
    <w:rsid w:val="00A729DF"/>
    <w:rsid w:val="00A72B7B"/>
    <w:rsid w:val="00A73DA2"/>
    <w:rsid w:val="00A74196"/>
    <w:rsid w:val="00A82AA2"/>
    <w:rsid w:val="00A84111"/>
    <w:rsid w:val="00A8522C"/>
    <w:rsid w:val="00A858CB"/>
    <w:rsid w:val="00A86813"/>
    <w:rsid w:val="00A87220"/>
    <w:rsid w:val="00A87343"/>
    <w:rsid w:val="00A8767D"/>
    <w:rsid w:val="00A876EF"/>
    <w:rsid w:val="00A87A6F"/>
    <w:rsid w:val="00A92435"/>
    <w:rsid w:val="00A92BCD"/>
    <w:rsid w:val="00A958D8"/>
    <w:rsid w:val="00A96579"/>
    <w:rsid w:val="00A96E17"/>
    <w:rsid w:val="00AA3009"/>
    <w:rsid w:val="00AA3832"/>
    <w:rsid w:val="00AA4230"/>
    <w:rsid w:val="00AA4F1D"/>
    <w:rsid w:val="00AA568B"/>
    <w:rsid w:val="00AA5E50"/>
    <w:rsid w:val="00AA6F44"/>
    <w:rsid w:val="00AA7D9A"/>
    <w:rsid w:val="00AB1BA4"/>
    <w:rsid w:val="00AB51D2"/>
    <w:rsid w:val="00AB6095"/>
    <w:rsid w:val="00AB7A31"/>
    <w:rsid w:val="00AC0CCB"/>
    <w:rsid w:val="00AC1470"/>
    <w:rsid w:val="00AC1CE7"/>
    <w:rsid w:val="00AC31D7"/>
    <w:rsid w:val="00AC50C6"/>
    <w:rsid w:val="00AC58DE"/>
    <w:rsid w:val="00AC6D46"/>
    <w:rsid w:val="00AC72CE"/>
    <w:rsid w:val="00AC733E"/>
    <w:rsid w:val="00AC772E"/>
    <w:rsid w:val="00AC7C76"/>
    <w:rsid w:val="00AC7F62"/>
    <w:rsid w:val="00AD3BC8"/>
    <w:rsid w:val="00AD44A7"/>
    <w:rsid w:val="00AD4AED"/>
    <w:rsid w:val="00AD67EA"/>
    <w:rsid w:val="00AD757C"/>
    <w:rsid w:val="00AD7ED4"/>
    <w:rsid w:val="00AE0847"/>
    <w:rsid w:val="00AE2659"/>
    <w:rsid w:val="00AE2FE3"/>
    <w:rsid w:val="00AE3179"/>
    <w:rsid w:val="00AF19A3"/>
    <w:rsid w:val="00AF330E"/>
    <w:rsid w:val="00B000AF"/>
    <w:rsid w:val="00B00C0B"/>
    <w:rsid w:val="00B02127"/>
    <w:rsid w:val="00B0224B"/>
    <w:rsid w:val="00B033C5"/>
    <w:rsid w:val="00B06192"/>
    <w:rsid w:val="00B07ABE"/>
    <w:rsid w:val="00B104D6"/>
    <w:rsid w:val="00B12349"/>
    <w:rsid w:val="00B12D20"/>
    <w:rsid w:val="00B13B18"/>
    <w:rsid w:val="00B1407A"/>
    <w:rsid w:val="00B14D33"/>
    <w:rsid w:val="00B15B12"/>
    <w:rsid w:val="00B16142"/>
    <w:rsid w:val="00B16D3A"/>
    <w:rsid w:val="00B20021"/>
    <w:rsid w:val="00B20655"/>
    <w:rsid w:val="00B20A6D"/>
    <w:rsid w:val="00B20ECE"/>
    <w:rsid w:val="00B226DC"/>
    <w:rsid w:val="00B22AB5"/>
    <w:rsid w:val="00B22B24"/>
    <w:rsid w:val="00B23C44"/>
    <w:rsid w:val="00B25FE7"/>
    <w:rsid w:val="00B26E9E"/>
    <w:rsid w:val="00B30493"/>
    <w:rsid w:val="00B3122C"/>
    <w:rsid w:val="00B31EB5"/>
    <w:rsid w:val="00B33D7A"/>
    <w:rsid w:val="00B34049"/>
    <w:rsid w:val="00B34761"/>
    <w:rsid w:val="00B34969"/>
    <w:rsid w:val="00B37245"/>
    <w:rsid w:val="00B37852"/>
    <w:rsid w:val="00B40842"/>
    <w:rsid w:val="00B40C43"/>
    <w:rsid w:val="00B417A3"/>
    <w:rsid w:val="00B42B8F"/>
    <w:rsid w:val="00B45034"/>
    <w:rsid w:val="00B4636A"/>
    <w:rsid w:val="00B47996"/>
    <w:rsid w:val="00B5007F"/>
    <w:rsid w:val="00B5267F"/>
    <w:rsid w:val="00B542AF"/>
    <w:rsid w:val="00B55C66"/>
    <w:rsid w:val="00B55DF4"/>
    <w:rsid w:val="00B57A94"/>
    <w:rsid w:val="00B616EF"/>
    <w:rsid w:val="00B6208F"/>
    <w:rsid w:val="00B63815"/>
    <w:rsid w:val="00B6405D"/>
    <w:rsid w:val="00B6473A"/>
    <w:rsid w:val="00B65762"/>
    <w:rsid w:val="00B657C6"/>
    <w:rsid w:val="00B65823"/>
    <w:rsid w:val="00B66783"/>
    <w:rsid w:val="00B716DD"/>
    <w:rsid w:val="00B717BB"/>
    <w:rsid w:val="00B7181B"/>
    <w:rsid w:val="00B73580"/>
    <w:rsid w:val="00B7479C"/>
    <w:rsid w:val="00B749FB"/>
    <w:rsid w:val="00B75530"/>
    <w:rsid w:val="00B76BF7"/>
    <w:rsid w:val="00B76E77"/>
    <w:rsid w:val="00B77C85"/>
    <w:rsid w:val="00B81B3D"/>
    <w:rsid w:val="00B81C31"/>
    <w:rsid w:val="00B830AC"/>
    <w:rsid w:val="00B83F62"/>
    <w:rsid w:val="00B85A99"/>
    <w:rsid w:val="00B8662E"/>
    <w:rsid w:val="00B903F1"/>
    <w:rsid w:val="00B92326"/>
    <w:rsid w:val="00B93417"/>
    <w:rsid w:val="00B95600"/>
    <w:rsid w:val="00B9707C"/>
    <w:rsid w:val="00B97E4D"/>
    <w:rsid w:val="00BA0595"/>
    <w:rsid w:val="00BA0DD4"/>
    <w:rsid w:val="00BA2A03"/>
    <w:rsid w:val="00BA3EAE"/>
    <w:rsid w:val="00BA43DE"/>
    <w:rsid w:val="00BA501D"/>
    <w:rsid w:val="00BA6418"/>
    <w:rsid w:val="00BA7538"/>
    <w:rsid w:val="00BB048F"/>
    <w:rsid w:val="00BB1DA8"/>
    <w:rsid w:val="00BB3C09"/>
    <w:rsid w:val="00BB3EB0"/>
    <w:rsid w:val="00BB5D0F"/>
    <w:rsid w:val="00BB68A7"/>
    <w:rsid w:val="00BB6AA8"/>
    <w:rsid w:val="00BC0D43"/>
    <w:rsid w:val="00BC276B"/>
    <w:rsid w:val="00BC276C"/>
    <w:rsid w:val="00BC3525"/>
    <w:rsid w:val="00BC4519"/>
    <w:rsid w:val="00BC5879"/>
    <w:rsid w:val="00BC6844"/>
    <w:rsid w:val="00BC7897"/>
    <w:rsid w:val="00BD0A4C"/>
    <w:rsid w:val="00BD0DBA"/>
    <w:rsid w:val="00BD1680"/>
    <w:rsid w:val="00BD2499"/>
    <w:rsid w:val="00BD2A61"/>
    <w:rsid w:val="00BD2BF7"/>
    <w:rsid w:val="00BD2E49"/>
    <w:rsid w:val="00BD3276"/>
    <w:rsid w:val="00BD5894"/>
    <w:rsid w:val="00BD5E2D"/>
    <w:rsid w:val="00BE02B2"/>
    <w:rsid w:val="00BE154B"/>
    <w:rsid w:val="00BE1905"/>
    <w:rsid w:val="00BE36A3"/>
    <w:rsid w:val="00BE41DB"/>
    <w:rsid w:val="00BE4B9B"/>
    <w:rsid w:val="00BE5D84"/>
    <w:rsid w:val="00BE6BED"/>
    <w:rsid w:val="00BF01F4"/>
    <w:rsid w:val="00BF0AE5"/>
    <w:rsid w:val="00BF0B6A"/>
    <w:rsid w:val="00BF109F"/>
    <w:rsid w:val="00BF339C"/>
    <w:rsid w:val="00BF38D6"/>
    <w:rsid w:val="00BF3B59"/>
    <w:rsid w:val="00BF3CF2"/>
    <w:rsid w:val="00BF504E"/>
    <w:rsid w:val="00BF5F90"/>
    <w:rsid w:val="00BF6701"/>
    <w:rsid w:val="00C0108D"/>
    <w:rsid w:val="00C02E2A"/>
    <w:rsid w:val="00C03BFA"/>
    <w:rsid w:val="00C03D77"/>
    <w:rsid w:val="00C04145"/>
    <w:rsid w:val="00C049AC"/>
    <w:rsid w:val="00C055E6"/>
    <w:rsid w:val="00C06DDB"/>
    <w:rsid w:val="00C06E3B"/>
    <w:rsid w:val="00C07E1A"/>
    <w:rsid w:val="00C1057D"/>
    <w:rsid w:val="00C10593"/>
    <w:rsid w:val="00C11A44"/>
    <w:rsid w:val="00C12F1A"/>
    <w:rsid w:val="00C14290"/>
    <w:rsid w:val="00C15744"/>
    <w:rsid w:val="00C17003"/>
    <w:rsid w:val="00C17840"/>
    <w:rsid w:val="00C17B5D"/>
    <w:rsid w:val="00C17BEA"/>
    <w:rsid w:val="00C20256"/>
    <w:rsid w:val="00C21CA9"/>
    <w:rsid w:val="00C22216"/>
    <w:rsid w:val="00C24BD5"/>
    <w:rsid w:val="00C26148"/>
    <w:rsid w:val="00C26D1C"/>
    <w:rsid w:val="00C318ED"/>
    <w:rsid w:val="00C328EA"/>
    <w:rsid w:val="00C33375"/>
    <w:rsid w:val="00C33937"/>
    <w:rsid w:val="00C36A38"/>
    <w:rsid w:val="00C37895"/>
    <w:rsid w:val="00C40C52"/>
    <w:rsid w:val="00C43181"/>
    <w:rsid w:val="00C45531"/>
    <w:rsid w:val="00C45C23"/>
    <w:rsid w:val="00C463AF"/>
    <w:rsid w:val="00C465BB"/>
    <w:rsid w:val="00C46A87"/>
    <w:rsid w:val="00C478BB"/>
    <w:rsid w:val="00C47D94"/>
    <w:rsid w:val="00C50090"/>
    <w:rsid w:val="00C504A0"/>
    <w:rsid w:val="00C50940"/>
    <w:rsid w:val="00C523F6"/>
    <w:rsid w:val="00C52562"/>
    <w:rsid w:val="00C528A6"/>
    <w:rsid w:val="00C53511"/>
    <w:rsid w:val="00C536DD"/>
    <w:rsid w:val="00C53E91"/>
    <w:rsid w:val="00C5418D"/>
    <w:rsid w:val="00C5431B"/>
    <w:rsid w:val="00C54F92"/>
    <w:rsid w:val="00C561B5"/>
    <w:rsid w:val="00C564F5"/>
    <w:rsid w:val="00C60113"/>
    <w:rsid w:val="00C619C0"/>
    <w:rsid w:val="00C62878"/>
    <w:rsid w:val="00C655AA"/>
    <w:rsid w:val="00C67194"/>
    <w:rsid w:val="00C7362D"/>
    <w:rsid w:val="00C73C18"/>
    <w:rsid w:val="00C73FCD"/>
    <w:rsid w:val="00C773DC"/>
    <w:rsid w:val="00C77510"/>
    <w:rsid w:val="00C80DEC"/>
    <w:rsid w:val="00C85CE9"/>
    <w:rsid w:val="00C861F5"/>
    <w:rsid w:val="00C8632D"/>
    <w:rsid w:val="00C86679"/>
    <w:rsid w:val="00C8693F"/>
    <w:rsid w:val="00C92AFF"/>
    <w:rsid w:val="00C93E1E"/>
    <w:rsid w:val="00C940CD"/>
    <w:rsid w:val="00C95752"/>
    <w:rsid w:val="00C9651E"/>
    <w:rsid w:val="00C977B0"/>
    <w:rsid w:val="00CA074F"/>
    <w:rsid w:val="00CA12DE"/>
    <w:rsid w:val="00CA237F"/>
    <w:rsid w:val="00CA28E4"/>
    <w:rsid w:val="00CA2BBC"/>
    <w:rsid w:val="00CA551D"/>
    <w:rsid w:val="00CA65D5"/>
    <w:rsid w:val="00CA6A93"/>
    <w:rsid w:val="00CA6AA8"/>
    <w:rsid w:val="00CB092C"/>
    <w:rsid w:val="00CB0CAB"/>
    <w:rsid w:val="00CB2618"/>
    <w:rsid w:val="00CB2A5E"/>
    <w:rsid w:val="00CB5EB0"/>
    <w:rsid w:val="00CB69B8"/>
    <w:rsid w:val="00CC29DF"/>
    <w:rsid w:val="00CC2A17"/>
    <w:rsid w:val="00CC2F8A"/>
    <w:rsid w:val="00CC40EC"/>
    <w:rsid w:val="00CC4A70"/>
    <w:rsid w:val="00CC5DC8"/>
    <w:rsid w:val="00CC6E03"/>
    <w:rsid w:val="00CC7612"/>
    <w:rsid w:val="00CC7D6B"/>
    <w:rsid w:val="00CD005E"/>
    <w:rsid w:val="00CD0225"/>
    <w:rsid w:val="00CD206C"/>
    <w:rsid w:val="00CD2572"/>
    <w:rsid w:val="00CD37A8"/>
    <w:rsid w:val="00CD5122"/>
    <w:rsid w:val="00CD545B"/>
    <w:rsid w:val="00CD5641"/>
    <w:rsid w:val="00CD61A2"/>
    <w:rsid w:val="00CD64AD"/>
    <w:rsid w:val="00CE2ECC"/>
    <w:rsid w:val="00CE2F3D"/>
    <w:rsid w:val="00CE3E20"/>
    <w:rsid w:val="00CE6051"/>
    <w:rsid w:val="00CE62E4"/>
    <w:rsid w:val="00CE6A4A"/>
    <w:rsid w:val="00CF05B3"/>
    <w:rsid w:val="00CF101A"/>
    <w:rsid w:val="00CF2857"/>
    <w:rsid w:val="00CF36FC"/>
    <w:rsid w:val="00CF3DFD"/>
    <w:rsid w:val="00CF4726"/>
    <w:rsid w:val="00CF6169"/>
    <w:rsid w:val="00CF7925"/>
    <w:rsid w:val="00D00025"/>
    <w:rsid w:val="00D00700"/>
    <w:rsid w:val="00D00B32"/>
    <w:rsid w:val="00D01508"/>
    <w:rsid w:val="00D021B3"/>
    <w:rsid w:val="00D02661"/>
    <w:rsid w:val="00D027D6"/>
    <w:rsid w:val="00D02FCB"/>
    <w:rsid w:val="00D051E2"/>
    <w:rsid w:val="00D05A3D"/>
    <w:rsid w:val="00D11BC7"/>
    <w:rsid w:val="00D11BD7"/>
    <w:rsid w:val="00D11CE1"/>
    <w:rsid w:val="00D12A08"/>
    <w:rsid w:val="00D12B5A"/>
    <w:rsid w:val="00D12C7A"/>
    <w:rsid w:val="00D12C9E"/>
    <w:rsid w:val="00D1345F"/>
    <w:rsid w:val="00D16B58"/>
    <w:rsid w:val="00D16D59"/>
    <w:rsid w:val="00D16E00"/>
    <w:rsid w:val="00D20506"/>
    <w:rsid w:val="00D21639"/>
    <w:rsid w:val="00D246A4"/>
    <w:rsid w:val="00D248B6"/>
    <w:rsid w:val="00D24A0E"/>
    <w:rsid w:val="00D275D5"/>
    <w:rsid w:val="00D305F2"/>
    <w:rsid w:val="00D3122C"/>
    <w:rsid w:val="00D31E14"/>
    <w:rsid w:val="00D32E04"/>
    <w:rsid w:val="00D32FC9"/>
    <w:rsid w:val="00D344B2"/>
    <w:rsid w:val="00D35926"/>
    <w:rsid w:val="00D36169"/>
    <w:rsid w:val="00D36EA7"/>
    <w:rsid w:val="00D40C58"/>
    <w:rsid w:val="00D41588"/>
    <w:rsid w:val="00D4231B"/>
    <w:rsid w:val="00D42AB6"/>
    <w:rsid w:val="00D438DD"/>
    <w:rsid w:val="00D444AD"/>
    <w:rsid w:val="00D4451F"/>
    <w:rsid w:val="00D45DA1"/>
    <w:rsid w:val="00D46E47"/>
    <w:rsid w:val="00D5246A"/>
    <w:rsid w:val="00D52E09"/>
    <w:rsid w:val="00D559CD"/>
    <w:rsid w:val="00D57D4F"/>
    <w:rsid w:val="00D6036E"/>
    <w:rsid w:val="00D6051D"/>
    <w:rsid w:val="00D6123D"/>
    <w:rsid w:val="00D6203F"/>
    <w:rsid w:val="00D62C46"/>
    <w:rsid w:val="00D631F3"/>
    <w:rsid w:val="00D639DE"/>
    <w:rsid w:val="00D704D7"/>
    <w:rsid w:val="00D71664"/>
    <w:rsid w:val="00D72B7F"/>
    <w:rsid w:val="00D732DF"/>
    <w:rsid w:val="00D73429"/>
    <w:rsid w:val="00D74028"/>
    <w:rsid w:val="00D8027C"/>
    <w:rsid w:val="00D82ECE"/>
    <w:rsid w:val="00D82F68"/>
    <w:rsid w:val="00D8349A"/>
    <w:rsid w:val="00D8408C"/>
    <w:rsid w:val="00D844F1"/>
    <w:rsid w:val="00D84A62"/>
    <w:rsid w:val="00D84B2C"/>
    <w:rsid w:val="00D865BE"/>
    <w:rsid w:val="00D86F24"/>
    <w:rsid w:val="00D8747F"/>
    <w:rsid w:val="00D90274"/>
    <w:rsid w:val="00D9327E"/>
    <w:rsid w:val="00D954E6"/>
    <w:rsid w:val="00D956DC"/>
    <w:rsid w:val="00D958C5"/>
    <w:rsid w:val="00D97DD9"/>
    <w:rsid w:val="00DA1ECF"/>
    <w:rsid w:val="00DA3612"/>
    <w:rsid w:val="00DA3696"/>
    <w:rsid w:val="00DA54AD"/>
    <w:rsid w:val="00DA702E"/>
    <w:rsid w:val="00DB1C6C"/>
    <w:rsid w:val="00DB2AFD"/>
    <w:rsid w:val="00DB6A42"/>
    <w:rsid w:val="00DC59ED"/>
    <w:rsid w:val="00DC70E2"/>
    <w:rsid w:val="00DC71EF"/>
    <w:rsid w:val="00DC7C93"/>
    <w:rsid w:val="00DD1A72"/>
    <w:rsid w:val="00DD26F0"/>
    <w:rsid w:val="00DD5A94"/>
    <w:rsid w:val="00DE0CD7"/>
    <w:rsid w:val="00DE4A67"/>
    <w:rsid w:val="00DE65F6"/>
    <w:rsid w:val="00DE70E7"/>
    <w:rsid w:val="00DE748A"/>
    <w:rsid w:val="00DE7A55"/>
    <w:rsid w:val="00DF02AF"/>
    <w:rsid w:val="00DF522B"/>
    <w:rsid w:val="00DF7A7F"/>
    <w:rsid w:val="00E00B9E"/>
    <w:rsid w:val="00E01837"/>
    <w:rsid w:val="00E01C4B"/>
    <w:rsid w:val="00E02491"/>
    <w:rsid w:val="00E03DED"/>
    <w:rsid w:val="00E0645E"/>
    <w:rsid w:val="00E06829"/>
    <w:rsid w:val="00E069DF"/>
    <w:rsid w:val="00E06EF1"/>
    <w:rsid w:val="00E074F0"/>
    <w:rsid w:val="00E10908"/>
    <w:rsid w:val="00E11287"/>
    <w:rsid w:val="00E12AD3"/>
    <w:rsid w:val="00E13117"/>
    <w:rsid w:val="00E13FE1"/>
    <w:rsid w:val="00E14E93"/>
    <w:rsid w:val="00E1788D"/>
    <w:rsid w:val="00E2091B"/>
    <w:rsid w:val="00E210FB"/>
    <w:rsid w:val="00E21225"/>
    <w:rsid w:val="00E212BA"/>
    <w:rsid w:val="00E25A69"/>
    <w:rsid w:val="00E275D9"/>
    <w:rsid w:val="00E30358"/>
    <w:rsid w:val="00E332A3"/>
    <w:rsid w:val="00E359F9"/>
    <w:rsid w:val="00E35F09"/>
    <w:rsid w:val="00E40160"/>
    <w:rsid w:val="00E4021F"/>
    <w:rsid w:val="00E40949"/>
    <w:rsid w:val="00E4150A"/>
    <w:rsid w:val="00E41F9B"/>
    <w:rsid w:val="00E43053"/>
    <w:rsid w:val="00E45CBB"/>
    <w:rsid w:val="00E4692B"/>
    <w:rsid w:val="00E47CE1"/>
    <w:rsid w:val="00E50A09"/>
    <w:rsid w:val="00E50E83"/>
    <w:rsid w:val="00E51247"/>
    <w:rsid w:val="00E5273A"/>
    <w:rsid w:val="00E53D88"/>
    <w:rsid w:val="00E5573C"/>
    <w:rsid w:val="00E61575"/>
    <w:rsid w:val="00E616EB"/>
    <w:rsid w:val="00E63A13"/>
    <w:rsid w:val="00E64616"/>
    <w:rsid w:val="00E65404"/>
    <w:rsid w:val="00E67E14"/>
    <w:rsid w:val="00E73851"/>
    <w:rsid w:val="00E73ED7"/>
    <w:rsid w:val="00E74728"/>
    <w:rsid w:val="00E74AEB"/>
    <w:rsid w:val="00E75736"/>
    <w:rsid w:val="00E75A6E"/>
    <w:rsid w:val="00E769B8"/>
    <w:rsid w:val="00E76F01"/>
    <w:rsid w:val="00E80492"/>
    <w:rsid w:val="00E807F1"/>
    <w:rsid w:val="00E81131"/>
    <w:rsid w:val="00E81562"/>
    <w:rsid w:val="00E817CD"/>
    <w:rsid w:val="00E82052"/>
    <w:rsid w:val="00E836D7"/>
    <w:rsid w:val="00E9137D"/>
    <w:rsid w:val="00E93BAE"/>
    <w:rsid w:val="00E94C66"/>
    <w:rsid w:val="00E95B49"/>
    <w:rsid w:val="00E96AED"/>
    <w:rsid w:val="00E97534"/>
    <w:rsid w:val="00EA21F5"/>
    <w:rsid w:val="00EA2A56"/>
    <w:rsid w:val="00EA2B1E"/>
    <w:rsid w:val="00EA2EB2"/>
    <w:rsid w:val="00EA30BD"/>
    <w:rsid w:val="00EA39EF"/>
    <w:rsid w:val="00EA3E32"/>
    <w:rsid w:val="00EB14BF"/>
    <w:rsid w:val="00EB4819"/>
    <w:rsid w:val="00EB4B3C"/>
    <w:rsid w:val="00EB54C7"/>
    <w:rsid w:val="00EB687C"/>
    <w:rsid w:val="00EB6B36"/>
    <w:rsid w:val="00EB6E5F"/>
    <w:rsid w:val="00EB7AF1"/>
    <w:rsid w:val="00EC002A"/>
    <w:rsid w:val="00EC13A5"/>
    <w:rsid w:val="00EC20E2"/>
    <w:rsid w:val="00EC38D3"/>
    <w:rsid w:val="00EC55E8"/>
    <w:rsid w:val="00EC5D72"/>
    <w:rsid w:val="00EC64F6"/>
    <w:rsid w:val="00EC7469"/>
    <w:rsid w:val="00EC7F60"/>
    <w:rsid w:val="00ED056C"/>
    <w:rsid w:val="00ED0D3A"/>
    <w:rsid w:val="00ED1EC8"/>
    <w:rsid w:val="00ED293E"/>
    <w:rsid w:val="00ED410C"/>
    <w:rsid w:val="00EE27CD"/>
    <w:rsid w:val="00EE2E13"/>
    <w:rsid w:val="00EE4478"/>
    <w:rsid w:val="00EE65C9"/>
    <w:rsid w:val="00EE6B2C"/>
    <w:rsid w:val="00EE77B2"/>
    <w:rsid w:val="00EF0B09"/>
    <w:rsid w:val="00EF2F3D"/>
    <w:rsid w:val="00EF45A1"/>
    <w:rsid w:val="00EF4BEF"/>
    <w:rsid w:val="00EF51E1"/>
    <w:rsid w:val="00EF5C6C"/>
    <w:rsid w:val="00EF6D55"/>
    <w:rsid w:val="00EF74C1"/>
    <w:rsid w:val="00EF7C19"/>
    <w:rsid w:val="00EF7CFF"/>
    <w:rsid w:val="00F00ED3"/>
    <w:rsid w:val="00F02651"/>
    <w:rsid w:val="00F0441A"/>
    <w:rsid w:val="00F1041F"/>
    <w:rsid w:val="00F10834"/>
    <w:rsid w:val="00F10C4D"/>
    <w:rsid w:val="00F113F2"/>
    <w:rsid w:val="00F11FCC"/>
    <w:rsid w:val="00F1263E"/>
    <w:rsid w:val="00F1344B"/>
    <w:rsid w:val="00F1659D"/>
    <w:rsid w:val="00F165E8"/>
    <w:rsid w:val="00F17E82"/>
    <w:rsid w:val="00F21588"/>
    <w:rsid w:val="00F219BB"/>
    <w:rsid w:val="00F21A38"/>
    <w:rsid w:val="00F248EB"/>
    <w:rsid w:val="00F251EE"/>
    <w:rsid w:val="00F30618"/>
    <w:rsid w:val="00F314B8"/>
    <w:rsid w:val="00F32090"/>
    <w:rsid w:val="00F35A62"/>
    <w:rsid w:val="00F36841"/>
    <w:rsid w:val="00F37A45"/>
    <w:rsid w:val="00F40539"/>
    <w:rsid w:val="00F413D4"/>
    <w:rsid w:val="00F42EB1"/>
    <w:rsid w:val="00F433D6"/>
    <w:rsid w:val="00F4375E"/>
    <w:rsid w:val="00F437C9"/>
    <w:rsid w:val="00F44077"/>
    <w:rsid w:val="00F44CDB"/>
    <w:rsid w:val="00F44FF4"/>
    <w:rsid w:val="00F467AC"/>
    <w:rsid w:val="00F50DF8"/>
    <w:rsid w:val="00F527B7"/>
    <w:rsid w:val="00F53296"/>
    <w:rsid w:val="00F54DB8"/>
    <w:rsid w:val="00F55C39"/>
    <w:rsid w:val="00F55CB3"/>
    <w:rsid w:val="00F55E8E"/>
    <w:rsid w:val="00F5774D"/>
    <w:rsid w:val="00F66235"/>
    <w:rsid w:val="00F70DA7"/>
    <w:rsid w:val="00F71E85"/>
    <w:rsid w:val="00F72ABA"/>
    <w:rsid w:val="00F7351F"/>
    <w:rsid w:val="00F740D8"/>
    <w:rsid w:val="00F74528"/>
    <w:rsid w:val="00F74DA6"/>
    <w:rsid w:val="00F74FBC"/>
    <w:rsid w:val="00F7512E"/>
    <w:rsid w:val="00F76A55"/>
    <w:rsid w:val="00F81952"/>
    <w:rsid w:val="00F83503"/>
    <w:rsid w:val="00F83612"/>
    <w:rsid w:val="00F84A02"/>
    <w:rsid w:val="00F85288"/>
    <w:rsid w:val="00F86305"/>
    <w:rsid w:val="00F873A4"/>
    <w:rsid w:val="00F90582"/>
    <w:rsid w:val="00F909D5"/>
    <w:rsid w:val="00F9172F"/>
    <w:rsid w:val="00F932EA"/>
    <w:rsid w:val="00F936E3"/>
    <w:rsid w:val="00F93706"/>
    <w:rsid w:val="00F937F3"/>
    <w:rsid w:val="00F9704E"/>
    <w:rsid w:val="00F97C7A"/>
    <w:rsid w:val="00F97DF6"/>
    <w:rsid w:val="00FA23FB"/>
    <w:rsid w:val="00FA40BC"/>
    <w:rsid w:val="00FB0758"/>
    <w:rsid w:val="00FB0EC6"/>
    <w:rsid w:val="00FB1615"/>
    <w:rsid w:val="00FB254C"/>
    <w:rsid w:val="00FB264F"/>
    <w:rsid w:val="00FB28BA"/>
    <w:rsid w:val="00FB4912"/>
    <w:rsid w:val="00FB492B"/>
    <w:rsid w:val="00FB51E8"/>
    <w:rsid w:val="00FB5EFE"/>
    <w:rsid w:val="00FB6195"/>
    <w:rsid w:val="00FB620D"/>
    <w:rsid w:val="00FB76BF"/>
    <w:rsid w:val="00FC0074"/>
    <w:rsid w:val="00FC011C"/>
    <w:rsid w:val="00FC08CE"/>
    <w:rsid w:val="00FC1645"/>
    <w:rsid w:val="00FC545F"/>
    <w:rsid w:val="00FC7335"/>
    <w:rsid w:val="00FD2843"/>
    <w:rsid w:val="00FD2EDE"/>
    <w:rsid w:val="00FD3EEA"/>
    <w:rsid w:val="00FD4A5F"/>
    <w:rsid w:val="00FD67B8"/>
    <w:rsid w:val="00FE27B4"/>
    <w:rsid w:val="00FE3178"/>
    <w:rsid w:val="00FE3484"/>
    <w:rsid w:val="00FE35AA"/>
    <w:rsid w:val="00FE3B05"/>
    <w:rsid w:val="00FE44FD"/>
    <w:rsid w:val="00FE711A"/>
    <w:rsid w:val="00FE74D3"/>
    <w:rsid w:val="00FF0E7D"/>
    <w:rsid w:val="00FF1098"/>
    <w:rsid w:val="00FF1687"/>
    <w:rsid w:val="00FF2BC8"/>
    <w:rsid w:val="00FF30A0"/>
    <w:rsid w:val="00FF5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897A45B"/>
  <w15:docId w15:val="{7BFB0C39-309B-4EA7-95C1-5A311995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838"/>
    <w:pPr>
      <w:widowControl w:val="0"/>
      <w:spacing w:line="360" w:lineRule="auto"/>
      <w:ind w:firstLine="420"/>
      <w:jc w:val="both"/>
    </w:pPr>
    <w:rPr>
      <w:rFonts w:ascii="Times New Roman" w:eastAsia="宋体" w:hAnsi="Times New Roman"/>
      <w:kern w:val="2"/>
      <w:sz w:val="21"/>
      <w:szCs w:val="21"/>
    </w:rPr>
  </w:style>
  <w:style w:type="paragraph" w:styleId="1">
    <w:name w:val="heading 1"/>
    <w:basedOn w:val="a"/>
    <w:next w:val="a"/>
    <w:link w:val="10"/>
    <w:uiPriority w:val="99"/>
    <w:qFormat/>
    <w:rsid w:val="005661DE"/>
    <w:pPr>
      <w:keepNext/>
      <w:keepLines/>
      <w:spacing w:line="300" w:lineRule="auto"/>
      <w:ind w:firstLine="0"/>
      <w:jc w:val="center"/>
      <w:outlineLvl w:val="0"/>
    </w:pPr>
    <w:rPr>
      <w:b/>
      <w:bCs/>
      <w:kern w:val="44"/>
      <w:sz w:val="28"/>
      <w:szCs w:val="44"/>
    </w:rPr>
  </w:style>
  <w:style w:type="paragraph" w:styleId="2">
    <w:name w:val="heading 2"/>
    <w:basedOn w:val="a"/>
    <w:next w:val="a"/>
    <w:link w:val="20"/>
    <w:uiPriority w:val="99"/>
    <w:qFormat/>
    <w:rsid w:val="005661DE"/>
    <w:pPr>
      <w:keepNext/>
      <w:keepLines/>
      <w:spacing w:line="300" w:lineRule="auto"/>
      <w:jc w:val="left"/>
      <w:outlineLvl w:val="1"/>
    </w:pPr>
    <w:rPr>
      <w:rFonts w:ascii="等线 Light" w:hAnsi="等线 Light" w:cs="等线 Light"/>
      <w:b/>
      <w:bCs/>
      <w:kern w:val="0"/>
      <w:sz w:val="24"/>
      <w:szCs w:val="32"/>
    </w:rPr>
  </w:style>
  <w:style w:type="paragraph" w:styleId="3">
    <w:name w:val="heading 3"/>
    <w:basedOn w:val="a"/>
    <w:next w:val="a"/>
    <w:link w:val="30"/>
    <w:uiPriority w:val="99"/>
    <w:qFormat/>
    <w:rsid w:val="005661DE"/>
    <w:pPr>
      <w:keepNext/>
      <w:keepLines/>
      <w:spacing w:line="300" w:lineRule="auto"/>
      <w:outlineLvl w:val="2"/>
    </w:pPr>
    <w:rPr>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5661DE"/>
    <w:rPr>
      <w:rFonts w:ascii="Times New Roman" w:eastAsia="宋体" w:hAnsi="Times New Roman"/>
      <w:b/>
      <w:bCs/>
      <w:kern w:val="44"/>
      <w:sz w:val="28"/>
      <w:szCs w:val="44"/>
    </w:rPr>
  </w:style>
  <w:style w:type="character" w:customStyle="1" w:styleId="20">
    <w:name w:val="标题 2 字符"/>
    <w:link w:val="2"/>
    <w:uiPriority w:val="99"/>
    <w:locked/>
    <w:rsid w:val="005661DE"/>
    <w:rPr>
      <w:rFonts w:ascii="等线 Light" w:eastAsia="宋体" w:hAnsi="等线 Light" w:cs="等线 Light"/>
      <w:b/>
      <w:bCs/>
      <w:sz w:val="24"/>
      <w:szCs w:val="32"/>
    </w:rPr>
  </w:style>
  <w:style w:type="character" w:customStyle="1" w:styleId="30">
    <w:name w:val="标题 3 字符"/>
    <w:link w:val="3"/>
    <w:uiPriority w:val="99"/>
    <w:locked/>
    <w:rsid w:val="005661DE"/>
    <w:rPr>
      <w:rFonts w:ascii="Times New Roman" w:eastAsia="宋体" w:hAnsi="Times New Roman"/>
      <w:sz w:val="24"/>
      <w:szCs w:val="32"/>
    </w:rPr>
  </w:style>
  <w:style w:type="paragraph" w:styleId="a3">
    <w:name w:val="footnote text"/>
    <w:basedOn w:val="a"/>
    <w:link w:val="a4"/>
    <w:uiPriority w:val="99"/>
    <w:semiHidden/>
    <w:rsid w:val="00C33937"/>
    <w:pPr>
      <w:snapToGrid w:val="0"/>
      <w:jc w:val="left"/>
    </w:pPr>
    <w:rPr>
      <w:kern w:val="0"/>
      <w:sz w:val="18"/>
      <w:szCs w:val="18"/>
    </w:rPr>
  </w:style>
  <w:style w:type="character" w:customStyle="1" w:styleId="a4">
    <w:name w:val="脚注文本 字符"/>
    <w:link w:val="a3"/>
    <w:uiPriority w:val="99"/>
    <w:locked/>
    <w:rsid w:val="00C33937"/>
    <w:rPr>
      <w:rFonts w:ascii="Times New Roman" w:eastAsia="宋体" w:hAnsi="Times New Roman" w:cs="Times New Roman"/>
      <w:sz w:val="18"/>
      <w:szCs w:val="18"/>
    </w:rPr>
  </w:style>
  <w:style w:type="character" w:styleId="a5">
    <w:name w:val="footnote reference"/>
    <w:uiPriority w:val="99"/>
    <w:semiHidden/>
    <w:rsid w:val="00C33937"/>
    <w:rPr>
      <w:vertAlign w:val="superscript"/>
    </w:rPr>
  </w:style>
  <w:style w:type="paragraph" w:styleId="a6">
    <w:name w:val="Normal (Web)"/>
    <w:basedOn w:val="a"/>
    <w:uiPriority w:val="99"/>
    <w:semiHidden/>
    <w:rsid w:val="009567E6"/>
    <w:pPr>
      <w:widowControl/>
      <w:spacing w:before="100" w:beforeAutospacing="1" w:after="100" w:afterAutospacing="1"/>
      <w:jc w:val="left"/>
    </w:pPr>
    <w:rPr>
      <w:rFonts w:eastAsia="等线"/>
      <w:kern w:val="0"/>
      <w:sz w:val="24"/>
      <w:szCs w:val="24"/>
    </w:rPr>
  </w:style>
  <w:style w:type="paragraph" w:styleId="a7">
    <w:name w:val="Balloon Text"/>
    <w:basedOn w:val="a"/>
    <w:link w:val="a8"/>
    <w:uiPriority w:val="99"/>
    <w:semiHidden/>
    <w:rsid w:val="000C5604"/>
    <w:rPr>
      <w:kern w:val="0"/>
      <w:sz w:val="18"/>
      <w:szCs w:val="18"/>
    </w:rPr>
  </w:style>
  <w:style w:type="character" w:customStyle="1" w:styleId="a8">
    <w:name w:val="批注框文本 字符"/>
    <w:link w:val="a7"/>
    <w:uiPriority w:val="99"/>
    <w:semiHidden/>
    <w:locked/>
    <w:rsid w:val="000C5604"/>
    <w:rPr>
      <w:rFonts w:ascii="Times New Roman" w:eastAsia="宋体" w:hAnsi="Times New Roman" w:cs="Times New Roman"/>
      <w:sz w:val="18"/>
      <w:szCs w:val="18"/>
    </w:rPr>
  </w:style>
  <w:style w:type="paragraph" w:customStyle="1" w:styleId="a9">
    <w:name w:val="摘要"/>
    <w:basedOn w:val="a"/>
    <w:uiPriority w:val="99"/>
    <w:rsid w:val="000C5604"/>
    <w:rPr>
      <w:rFonts w:ascii="KaiTi" w:eastAsia="KaiTi" w:hAnsi="KaiTi" w:cs="KaiTi"/>
    </w:rPr>
  </w:style>
  <w:style w:type="paragraph" w:customStyle="1" w:styleId="abstract">
    <w:name w:val="abstract"/>
    <w:basedOn w:val="a"/>
    <w:uiPriority w:val="99"/>
    <w:rsid w:val="0010046D"/>
    <w:rPr>
      <w:rFonts w:eastAsia="等线"/>
    </w:rPr>
  </w:style>
  <w:style w:type="paragraph" w:customStyle="1" w:styleId="aa">
    <w:name w:val="大标题"/>
    <w:basedOn w:val="a"/>
    <w:uiPriority w:val="99"/>
    <w:rsid w:val="0010046D"/>
    <w:pPr>
      <w:spacing w:line="240" w:lineRule="auto"/>
      <w:jc w:val="center"/>
    </w:pPr>
    <w:rPr>
      <w:rFonts w:eastAsia="黑体"/>
      <w:sz w:val="32"/>
      <w:szCs w:val="32"/>
    </w:rPr>
  </w:style>
  <w:style w:type="paragraph" w:customStyle="1" w:styleId="5-11">
    <w:name w:val="网格表 5 深色 - 着色 11"/>
    <w:basedOn w:val="1"/>
    <w:next w:val="a"/>
    <w:uiPriority w:val="99"/>
    <w:qFormat/>
    <w:rsid w:val="00682477"/>
    <w:pPr>
      <w:widowControl/>
      <w:spacing w:before="240" w:line="259" w:lineRule="auto"/>
      <w:jc w:val="left"/>
      <w:outlineLvl w:val="9"/>
    </w:pPr>
    <w:rPr>
      <w:rFonts w:ascii="等线 Light" w:eastAsia="等线 Light" w:hAnsi="等线 Light" w:cs="等线 Light"/>
      <w:b w:val="0"/>
      <w:bCs w:val="0"/>
      <w:color w:val="2E74B5"/>
      <w:kern w:val="0"/>
      <w:sz w:val="32"/>
      <w:szCs w:val="32"/>
    </w:rPr>
  </w:style>
  <w:style w:type="paragraph" w:styleId="TOC1">
    <w:name w:val="toc 1"/>
    <w:basedOn w:val="a"/>
    <w:next w:val="a"/>
    <w:autoRedefine/>
    <w:uiPriority w:val="39"/>
    <w:rsid w:val="005661DE"/>
    <w:pPr>
      <w:tabs>
        <w:tab w:val="right" w:leader="dot" w:pos="8290"/>
      </w:tabs>
      <w:snapToGrid w:val="0"/>
      <w:spacing w:line="240" w:lineRule="auto"/>
      <w:jc w:val="center"/>
    </w:pPr>
    <w:rPr>
      <w:rFonts w:ascii="黑体" w:eastAsia="黑体" w:hAnsi="黑体"/>
      <w:sz w:val="32"/>
      <w:szCs w:val="32"/>
    </w:rPr>
  </w:style>
  <w:style w:type="paragraph" w:styleId="TOC2">
    <w:name w:val="toc 2"/>
    <w:basedOn w:val="a"/>
    <w:next w:val="a"/>
    <w:autoRedefine/>
    <w:uiPriority w:val="39"/>
    <w:rsid w:val="00347E80"/>
    <w:pPr>
      <w:tabs>
        <w:tab w:val="right" w:leader="dot" w:pos="8290"/>
      </w:tabs>
      <w:ind w:leftChars="200" w:left="420"/>
    </w:pPr>
  </w:style>
  <w:style w:type="paragraph" w:styleId="TOC3">
    <w:name w:val="toc 3"/>
    <w:basedOn w:val="a"/>
    <w:next w:val="a"/>
    <w:autoRedefine/>
    <w:uiPriority w:val="99"/>
    <w:semiHidden/>
    <w:rsid w:val="00682477"/>
    <w:pPr>
      <w:ind w:leftChars="400" w:left="840"/>
    </w:pPr>
  </w:style>
  <w:style w:type="character" w:styleId="ab">
    <w:name w:val="Hyperlink"/>
    <w:uiPriority w:val="99"/>
    <w:rsid w:val="00682477"/>
    <w:rPr>
      <w:color w:val="auto"/>
      <w:u w:val="single"/>
    </w:rPr>
  </w:style>
  <w:style w:type="paragraph" w:styleId="ac">
    <w:name w:val="header"/>
    <w:basedOn w:val="a"/>
    <w:link w:val="ad"/>
    <w:uiPriority w:val="99"/>
    <w:rsid w:val="0079454E"/>
    <w:pPr>
      <w:pBdr>
        <w:bottom w:val="single" w:sz="6" w:space="1" w:color="auto"/>
      </w:pBdr>
      <w:tabs>
        <w:tab w:val="center" w:pos="4153"/>
        <w:tab w:val="right" w:pos="8306"/>
      </w:tabs>
      <w:snapToGrid w:val="0"/>
      <w:spacing w:line="240" w:lineRule="auto"/>
      <w:jc w:val="center"/>
    </w:pPr>
    <w:rPr>
      <w:kern w:val="0"/>
      <w:sz w:val="18"/>
      <w:szCs w:val="18"/>
    </w:rPr>
  </w:style>
  <w:style w:type="character" w:customStyle="1" w:styleId="ad">
    <w:name w:val="页眉 字符"/>
    <w:link w:val="ac"/>
    <w:uiPriority w:val="99"/>
    <w:locked/>
    <w:rsid w:val="0079454E"/>
    <w:rPr>
      <w:rFonts w:ascii="Times New Roman" w:eastAsia="宋体" w:hAnsi="Times New Roman" w:cs="Times New Roman"/>
      <w:sz w:val="18"/>
      <w:szCs w:val="18"/>
    </w:rPr>
  </w:style>
  <w:style w:type="paragraph" w:styleId="ae">
    <w:name w:val="footer"/>
    <w:basedOn w:val="a"/>
    <w:link w:val="af"/>
    <w:uiPriority w:val="99"/>
    <w:rsid w:val="0079454E"/>
    <w:pPr>
      <w:tabs>
        <w:tab w:val="center" w:pos="4153"/>
        <w:tab w:val="right" w:pos="8306"/>
      </w:tabs>
      <w:snapToGrid w:val="0"/>
      <w:spacing w:line="240" w:lineRule="auto"/>
      <w:jc w:val="left"/>
    </w:pPr>
    <w:rPr>
      <w:kern w:val="0"/>
      <w:sz w:val="18"/>
      <w:szCs w:val="18"/>
    </w:rPr>
  </w:style>
  <w:style w:type="character" w:customStyle="1" w:styleId="af">
    <w:name w:val="页脚 字符"/>
    <w:link w:val="ae"/>
    <w:uiPriority w:val="99"/>
    <w:locked/>
    <w:rsid w:val="0079454E"/>
    <w:rPr>
      <w:rFonts w:ascii="Times New Roman" w:eastAsia="宋体" w:hAnsi="Times New Roman" w:cs="Times New Roman"/>
      <w:sz w:val="18"/>
      <w:szCs w:val="18"/>
    </w:rPr>
  </w:style>
  <w:style w:type="paragraph" w:customStyle="1" w:styleId="1-21">
    <w:name w:val="中等深浅网格 1 - 着色 21"/>
    <w:basedOn w:val="a"/>
    <w:uiPriority w:val="99"/>
    <w:rsid w:val="00D00700"/>
    <w:pPr>
      <w:spacing w:line="240" w:lineRule="auto"/>
      <w:ind w:firstLineChars="200" w:firstLine="200"/>
    </w:pPr>
    <w:rPr>
      <w:rFonts w:ascii="Calibri" w:hAnsi="Calibri" w:cs="Calibri"/>
    </w:rPr>
  </w:style>
  <w:style w:type="paragraph" w:customStyle="1" w:styleId="Af0">
    <w:name w:val="正文 A"/>
    <w:uiPriority w:val="99"/>
    <w:rsid w:val="00C80DEC"/>
    <w:pPr>
      <w:widowControl w:val="0"/>
      <w:jc w:val="both"/>
    </w:pPr>
    <w:rPr>
      <w:rFonts w:ascii="Calibri" w:eastAsia="宋体" w:hAnsi="Calibri" w:cs="Calibri"/>
      <w:color w:val="000000"/>
      <w:kern w:val="2"/>
      <w:sz w:val="21"/>
      <w:szCs w:val="21"/>
    </w:rPr>
  </w:style>
  <w:style w:type="character" w:styleId="af1">
    <w:name w:val="annotation reference"/>
    <w:uiPriority w:val="99"/>
    <w:semiHidden/>
    <w:rsid w:val="00102DCB"/>
    <w:rPr>
      <w:sz w:val="21"/>
      <w:szCs w:val="21"/>
    </w:rPr>
  </w:style>
  <w:style w:type="paragraph" w:styleId="af2">
    <w:name w:val="annotation text"/>
    <w:basedOn w:val="a"/>
    <w:link w:val="af3"/>
    <w:uiPriority w:val="99"/>
    <w:semiHidden/>
    <w:rsid w:val="00102DCB"/>
    <w:pPr>
      <w:jc w:val="left"/>
    </w:pPr>
    <w:rPr>
      <w:kern w:val="0"/>
    </w:rPr>
  </w:style>
  <w:style w:type="character" w:customStyle="1" w:styleId="af3">
    <w:name w:val="批注文字 字符"/>
    <w:link w:val="af2"/>
    <w:uiPriority w:val="99"/>
    <w:semiHidden/>
    <w:locked/>
    <w:rsid w:val="00B23C44"/>
    <w:rPr>
      <w:rFonts w:ascii="Times New Roman" w:eastAsia="宋体" w:hAnsi="Times New Roman" w:cs="Times New Roman"/>
      <w:sz w:val="21"/>
      <w:szCs w:val="21"/>
    </w:rPr>
  </w:style>
  <w:style w:type="paragraph" w:styleId="af4">
    <w:name w:val="annotation subject"/>
    <w:basedOn w:val="af2"/>
    <w:next w:val="af2"/>
    <w:link w:val="af5"/>
    <w:uiPriority w:val="99"/>
    <w:semiHidden/>
    <w:rsid w:val="00102DCB"/>
    <w:rPr>
      <w:b/>
      <w:bCs/>
    </w:rPr>
  </w:style>
  <w:style w:type="character" w:customStyle="1" w:styleId="af5">
    <w:name w:val="批注主题 字符"/>
    <w:link w:val="af4"/>
    <w:uiPriority w:val="99"/>
    <w:semiHidden/>
    <w:locked/>
    <w:rsid w:val="00B23C44"/>
    <w:rPr>
      <w:rFonts w:ascii="Times New Roman" w:eastAsia="宋体" w:hAnsi="Times New Roman" w:cs="Times New Roman"/>
      <w:b/>
      <w:bCs/>
      <w:sz w:val="21"/>
      <w:szCs w:val="21"/>
    </w:rPr>
  </w:style>
  <w:style w:type="character" w:styleId="af6">
    <w:name w:val="Emphasis"/>
    <w:uiPriority w:val="99"/>
    <w:qFormat/>
    <w:locked/>
    <w:rsid w:val="00A84111"/>
    <w:rPr>
      <w:i/>
      <w:iCs/>
    </w:rPr>
  </w:style>
  <w:style w:type="paragraph" w:styleId="af7">
    <w:name w:val="Document Map"/>
    <w:basedOn w:val="a"/>
    <w:link w:val="af8"/>
    <w:uiPriority w:val="99"/>
    <w:semiHidden/>
    <w:rsid w:val="009F5398"/>
    <w:rPr>
      <w:rFonts w:ascii="宋体" w:cs="宋体"/>
      <w:sz w:val="24"/>
      <w:szCs w:val="24"/>
    </w:rPr>
  </w:style>
  <w:style w:type="character" w:customStyle="1" w:styleId="af8">
    <w:name w:val="文档结构图 字符"/>
    <w:link w:val="af7"/>
    <w:uiPriority w:val="99"/>
    <w:semiHidden/>
    <w:locked/>
    <w:rsid w:val="009F5398"/>
    <w:rPr>
      <w:rFonts w:ascii="宋体" w:eastAsia="宋体" w:hAnsi="Times New Roman" w:cs="宋体"/>
      <w:kern w:val="2"/>
      <w:sz w:val="24"/>
      <w:szCs w:val="24"/>
    </w:rPr>
  </w:style>
  <w:style w:type="paragraph" w:customStyle="1" w:styleId="2-21">
    <w:name w:val="中等深浅列表 2 - 着色 21"/>
    <w:hidden/>
    <w:uiPriority w:val="99"/>
    <w:semiHidden/>
    <w:rsid w:val="009F5398"/>
    <w:rPr>
      <w:rFonts w:ascii="Times New Roman" w:eastAsia="宋体" w:hAnsi="Times New Roman"/>
      <w:kern w:val="2"/>
      <w:sz w:val="21"/>
      <w:szCs w:val="21"/>
    </w:rPr>
  </w:style>
  <w:style w:type="character" w:customStyle="1" w:styleId="11">
    <w:name w:val="未处理的提及1"/>
    <w:uiPriority w:val="52"/>
    <w:rsid w:val="005661DE"/>
    <w:rPr>
      <w:color w:val="605E5C"/>
      <w:shd w:val="clear" w:color="auto" w:fill="E1DFDD"/>
    </w:rPr>
  </w:style>
  <w:style w:type="paragraph" w:styleId="af9">
    <w:name w:val="endnote text"/>
    <w:basedOn w:val="a"/>
    <w:link w:val="afa"/>
    <w:uiPriority w:val="99"/>
    <w:semiHidden/>
    <w:unhideWhenUsed/>
    <w:rsid w:val="00FF1098"/>
    <w:pPr>
      <w:snapToGrid w:val="0"/>
      <w:jc w:val="left"/>
    </w:pPr>
  </w:style>
  <w:style w:type="character" w:customStyle="1" w:styleId="afa">
    <w:name w:val="尾注文本 字符"/>
    <w:link w:val="af9"/>
    <w:uiPriority w:val="99"/>
    <w:semiHidden/>
    <w:rsid w:val="00FF1098"/>
    <w:rPr>
      <w:rFonts w:ascii="Times New Roman" w:eastAsia="宋体" w:hAnsi="Times New Roman"/>
      <w:kern w:val="2"/>
      <w:sz w:val="21"/>
      <w:szCs w:val="21"/>
    </w:rPr>
  </w:style>
  <w:style w:type="character" w:styleId="afb">
    <w:name w:val="endnote reference"/>
    <w:uiPriority w:val="99"/>
    <w:semiHidden/>
    <w:unhideWhenUsed/>
    <w:rsid w:val="00FF1098"/>
    <w:rPr>
      <w:vertAlign w:val="superscript"/>
    </w:rPr>
  </w:style>
  <w:style w:type="paragraph" w:styleId="afc">
    <w:name w:val="Title"/>
    <w:basedOn w:val="a"/>
    <w:next w:val="a"/>
    <w:link w:val="afd"/>
    <w:qFormat/>
    <w:locked/>
    <w:rsid w:val="00FF1098"/>
    <w:pPr>
      <w:spacing w:before="240" w:after="60"/>
      <w:jc w:val="center"/>
      <w:outlineLvl w:val="0"/>
    </w:pPr>
    <w:rPr>
      <w:rFonts w:ascii="等线 Light" w:hAnsi="等线 Light"/>
      <w:b/>
      <w:bCs/>
      <w:sz w:val="32"/>
      <w:szCs w:val="32"/>
    </w:rPr>
  </w:style>
  <w:style w:type="character" w:customStyle="1" w:styleId="afd">
    <w:name w:val="标题 字符"/>
    <w:link w:val="afc"/>
    <w:rsid w:val="00FF1098"/>
    <w:rPr>
      <w:rFonts w:ascii="等线 Light" w:eastAsia="宋体" w:hAnsi="等线 Light"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88467">
      <w:bodyDiv w:val="1"/>
      <w:marLeft w:val="0"/>
      <w:marRight w:val="0"/>
      <w:marTop w:val="0"/>
      <w:marBottom w:val="0"/>
      <w:divBdr>
        <w:top w:val="none" w:sz="0" w:space="0" w:color="auto"/>
        <w:left w:val="none" w:sz="0" w:space="0" w:color="auto"/>
        <w:bottom w:val="none" w:sz="0" w:space="0" w:color="auto"/>
        <w:right w:val="none" w:sz="0" w:space="0" w:color="auto"/>
      </w:divBdr>
    </w:div>
    <w:div w:id="924807409">
      <w:marLeft w:val="0"/>
      <w:marRight w:val="0"/>
      <w:marTop w:val="0"/>
      <w:marBottom w:val="0"/>
      <w:divBdr>
        <w:top w:val="none" w:sz="0" w:space="0" w:color="auto"/>
        <w:left w:val="none" w:sz="0" w:space="0" w:color="auto"/>
        <w:bottom w:val="none" w:sz="0" w:space="0" w:color="auto"/>
        <w:right w:val="none" w:sz="0" w:space="0" w:color="auto"/>
      </w:divBdr>
    </w:div>
    <w:div w:id="924807410">
      <w:marLeft w:val="0"/>
      <w:marRight w:val="0"/>
      <w:marTop w:val="0"/>
      <w:marBottom w:val="0"/>
      <w:divBdr>
        <w:top w:val="none" w:sz="0" w:space="0" w:color="auto"/>
        <w:left w:val="none" w:sz="0" w:space="0" w:color="auto"/>
        <w:bottom w:val="none" w:sz="0" w:space="0" w:color="auto"/>
        <w:right w:val="none" w:sz="0" w:space="0" w:color="auto"/>
      </w:divBdr>
    </w:div>
    <w:div w:id="924807411">
      <w:marLeft w:val="0"/>
      <w:marRight w:val="0"/>
      <w:marTop w:val="0"/>
      <w:marBottom w:val="0"/>
      <w:divBdr>
        <w:top w:val="none" w:sz="0" w:space="0" w:color="auto"/>
        <w:left w:val="none" w:sz="0" w:space="0" w:color="auto"/>
        <w:bottom w:val="none" w:sz="0" w:space="0" w:color="auto"/>
        <w:right w:val="none" w:sz="0" w:space="0" w:color="auto"/>
      </w:divBdr>
    </w:div>
    <w:div w:id="924807412">
      <w:marLeft w:val="0"/>
      <w:marRight w:val="0"/>
      <w:marTop w:val="0"/>
      <w:marBottom w:val="0"/>
      <w:divBdr>
        <w:top w:val="none" w:sz="0" w:space="0" w:color="auto"/>
        <w:left w:val="none" w:sz="0" w:space="0" w:color="auto"/>
        <w:bottom w:val="none" w:sz="0" w:space="0" w:color="auto"/>
        <w:right w:val="none" w:sz="0" w:space="0" w:color="auto"/>
      </w:divBdr>
    </w:div>
    <w:div w:id="924807413">
      <w:marLeft w:val="0"/>
      <w:marRight w:val="0"/>
      <w:marTop w:val="0"/>
      <w:marBottom w:val="0"/>
      <w:divBdr>
        <w:top w:val="none" w:sz="0" w:space="0" w:color="auto"/>
        <w:left w:val="none" w:sz="0" w:space="0" w:color="auto"/>
        <w:bottom w:val="none" w:sz="0" w:space="0" w:color="auto"/>
        <w:right w:val="none" w:sz="0" w:space="0" w:color="auto"/>
      </w:divBdr>
    </w:div>
    <w:div w:id="924807414">
      <w:marLeft w:val="0"/>
      <w:marRight w:val="0"/>
      <w:marTop w:val="0"/>
      <w:marBottom w:val="0"/>
      <w:divBdr>
        <w:top w:val="none" w:sz="0" w:space="0" w:color="auto"/>
        <w:left w:val="none" w:sz="0" w:space="0" w:color="auto"/>
        <w:bottom w:val="none" w:sz="0" w:space="0" w:color="auto"/>
        <w:right w:val="none" w:sz="0" w:space="0" w:color="auto"/>
      </w:divBdr>
    </w:div>
    <w:div w:id="924807415">
      <w:marLeft w:val="0"/>
      <w:marRight w:val="0"/>
      <w:marTop w:val="0"/>
      <w:marBottom w:val="0"/>
      <w:divBdr>
        <w:top w:val="none" w:sz="0" w:space="0" w:color="auto"/>
        <w:left w:val="none" w:sz="0" w:space="0" w:color="auto"/>
        <w:bottom w:val="none" w:sz="0" w:space="0" w:color="auto"/>
        <w:right w:val="none" w:sz="0" w:space="0" w:color="auto"/>
      </w:divBdr>
    </w:div>
    <w:div w:id="924807416">
      <w:marLeft w:val="0"/>
      <w:marRight w:val="0"/>
      <w:marTop w:val="0"/>
      <w:marBottom w:val="0"/>
      <w:divBdr>
        <w:top w:val="none" w:sz="0" w:space="0" w:color="auto"/>
        <w:left w:val="none" w:sz="0" w:space="0" w:color="auto"/>
        <w:bottom w:val="none" w:sz="0" w:space="0" w:color="auto"/>
        <w:right w:val="none" w:sz="0" w:space="0" w:color="auto"/>
      </w:divBdr>
    </w:div>
    <w:div w:id="924807417">
      <w:marLeft w:val="0"/>
      <w:marRight w:val="0"/>
      <w:marTop w:val="0"/>
      <w:marBottom w:val="0"/>
      <w:divBdr>
        <w:top w:val="none" w:sz="0" w:space="0" w:color="auto"/>
        <w:left w:val="none" w:sz="0" w:space="0" w:color="auto"/>
        <w:bottom w:val="none" w:sz="0" w:space="0" w:color="auto"/>
        <w:right w:val="none" w:sz="0" w:space="0" w:color="auto"/>
      </w:divBdr>
    </w:div>
    <w:div w:id="924807418">
      <w:marLeft w:val="0"/>
      <w:marRight w:val="0"/>
      <w:marTop w:val="0"/>
      <w:marBottom w:val="0"/>
      <w:divBdr>
        <w:top w:val="none" w:sz="0" w:space="0" w:color="auto"/>
        <w:left w:val="none" w:sz="0" w:space="0" w:color="auto"/>
        <w:bottom w:val="none" w:sz="0" w:space="0" w:color="auto"/>
        <w:right w:val="none" w:sz="0" w:space="0" w:color="auto"/>
      </w:divBdr>
    </w:div>
    <w:div w:id="924807419">
      <w:marLeft w:val="0"/>
      <w:marRight w:val="0"/>
      <w:marTop w:val="0"/>
      <w:marBottom w:val="0"/>
      <w:divBdr>
        <w:top w:val="none" w:sz="0" w:space="0" w:color="auto"/>
        <w:left w:val="none" w:sz="0" w:space="0" w:color="auto"/>
        <w:bottom w:val="none" w:sz="0" w:space="0" w:color="auto"/>
        <w:right w:val="none" w:sz="0" w:space="0" w:color="auto"/>
      </w:divBdr>
    </w:div>
    <w:div w:id="924807420">
      <w:marLeft w:val="0"/>
      <w:marRight w:val="0"/>
      <w:marTop w:val="0"/>
      <w:marBottom w:val="0"/>
      <w:divBdr>
        <w:top w:val="none" w:sz="0" w:space="0" w:color="auto"/>
        <w:left w:val="none" w:sz="0" w:space="0" w:color="auto"/>
        <w:bottom w:val="none" w:sz="0" w:space="0" w:color="auto"/>
        <w:right w:val="none" w:sz="0" w:space="0" w:color="auto"/>
      </w:divBdr>
    </w:div>
    <w:div w:id="924807421">
      <w:marLeft w:val="0"/>
      <w:marRight w:val="0"/>
      <w:marTop w:val="0"/>
      <w:marBottom w:val="0"/>
      <w:divBdr>
        <w:top w:val="none" w:sz="0" w:space="0" w:color="auto"/>
        <w:left w:val="none" w:sz="0" w:space="0" w:color="auto"/>
        <w:bottom w:val="none" w:sz="0" w:space="0" w:color="auto"/>
        <w:right w:val="none" w:sz="0" w:space="0" w:color="auto"/>
      </w:divBdr>
    </w:div>
    <w:div w:id="924807422">
      <w:marLeft w:val="0"/>
      <w:marRight w:val="0"/>
      <w:marTop w:val="0"/>
      <w:marBottom w:val="0"/>
      <w:divBdr>
        <w:top w:val="none" w:sz="0" w:space="0" w:color="auto"/>
        <w:left w:val="none" w:sz="0" w:space="0" w:color="auto"/>
        <w:bottom w:val="none" w:sz="0" w:space="0" w:color="auto"/>
        <w:right w:val="none" w:sz="0" w:space="0" w:color="auto"/>
      </w:divBdr>
    </w:div>
    <w:div w:id="924807423">
      <w:marLeft w:val="0"/>
      <w:marRight w:val="0"/>
      <w:marTop w:val="0"/>
      <w:marBottom w:val="0"/>
      <w:divBdr>
        <w:top w:val="none" w:sz="0" w:space="0" w:color="auto"/>
        <w:left w:val="none" w:sz="0" w:space="0" w:color="auto"/>
        <w:bottom w:val="none" w:sz="0" w:space="0" w:color="auto"/>
        <w:right w:val="none" w:sz="0" w:space="0" w:color="auto"/>
      </w:divBdr>
    </w:div>
    <w:div w:id="924807424">
      <w:marLeft w:val="0"/>
      <w:marRight w:val="0"/>
      <w:marTop w:val="0"/>
      <w:marBottom w:val="0"/>
      <w:divBdr>
        <w:top w:val="none" w:sz="0" w:space="0" w:color="auto"/>
        <w:left w:val="none" w:sz="0" w:space="0" w:color="auto"/>
        <w:bottom w:val="none" w:sz="0" w:space="0" w:color="auto"/>
        <w:right w:val="none" w:sz="0" w:space="0" w:color="auto"/>
      </w:divBdr>
    </w:div>
    <w:div w:id="924807425">
      <w:marLeft w:val="0"/>
      <w:marRight w:val="0"/>
      <w:marTop w:val="0"/>
      <w:marBottom w:val="0"/>
      <w:divBdr>
        <w:top w:val="none" w:sz="0" w:space="0" w:color="auto"/>
        <w:left w:val="none" w:sz="0" w:space="0" w:color="auto"/>
        <w:bottom w:val="none" w:sz="0" w:space="0" w:color="auto"/>
        <w:right w:val="none" w:sz="0" w:space="0" w:color="auto"/>
      </w:divBdr>
    </w:div>
    <w:div w:id="924807426">
      <w:marLeft w:val="0"/>
      <w:marRight w:val="0"/>
      <w:marTop w:val="0"/>
      <w:marBottom w:val="0"/>
      <w:divBdr>
        <w:top w:val="none" w:sz="0" w:space="0" w:color="auto"/>
        <w:left w:val="none" w:sz="0" w:space="0" w:color="auto"/>
        <w:bottom w:val="none" w:sz="0" w:space="0" w:color="auto"/>
        <w:right w:val="none" w:sz="0" w:space="0" w:color="auto"/>
      </w:divBdr>
    </w:div>
    <w:div w:id="924807427">
      <w:marLeft w:val="0"/>
      <w:marRight w:val="0"/>
      <w:marTop w:val="0"/>
      <w:marBottom w:val="0"/>
      <w:divBdr>
        <w:top w:val="none" w:sz="0" w:space="0" w:color="auto"/>
        <w:left w:val="none" w:sz="0" w:space="0" w:color="auto"/>
        <w:bottom w:val="none" w:sz="0" w:space="0" w:color="auto"/>
        <w:right w:val="none" w:sz="0" w:space="0" w:color="auto"/>
      </w:divBdr>
    </w:div>
    <w:div w:id="924807428">
      <w:marLeft w:val="0"/>
      <w:marRight w:val="0"/>
      <w:marTop w:val="0"/>
      <w:marBottom w:val="0"/>
      <w:divBdr>
        <w:top w:val="none" w:sz="0" w:space="0" w:color="auto"/>
        <w:left w:val="none" w:sz="0" w:space="0" w:color="auto"/>
        <w:bottom w:val="none" w:sz="0" w:space="0" w:color="auto"/>
        <w:right w:val="none" w:sz="0" w:space="0" w:color="auto"/>
      </w:divBdr>
    </w:div>
    <w:div w:id="924807429">
      <w:marLeft w:val="0"/>
      <w:marRight w:val="0"/>
      <w:marTop w:val="0"/>
      <w:marBottom w:val="0"/>
      <w:divBdr>
        <w:top w:val="none" w:sz="0" w:space="0" w:color="auto"/>
        <w:left w:val="none" w:sz="0" w:space="0" w:color="auto"/>
        <w:bottom w:val="none" w:sz="0" w:space="0" w:color="auto"/>
        <w:right w:val="none" w:sz="0" w:space="0" w:color="auto"/>
      </w:divBdr>
    </w:div>
    <w:div w:id="924807430">
      <w:marLeft w:val="0"/>
      <w:marRight w:val="0"/>
      <w:marTop w:val="0"/>
      <w:marBottom w:val="0"/>
      <w:divBdr>
        <w:top w:val="none" w:sz="0" w:space="0" w:color="auto"/>
        <w:left w:val="none" w:sz="0" w:space="0" w:color="auto"/>
        <w:bottom w:val="none" w:sz="0" w:space="0" w:color="auto"/>
        <w:right w:val="none" w:sz="0" w:space="0" w:color="auto"/>
      </w:divBdr>
    </w:div>
    <w:div w:id="924807431">
      <w:marLeft w:val="0"/>
      <w:marRight w:val="0"/>
      <w:marTop w:val="0"/>
      <w:marBottom w:val="0"/>
      <w:divBdr>
        <w:top w:val="none" w:sz="0" w:space="0" w:color="auto"/>
        <w:left w:val="none" w:sz="0" w:space="0" w:color="auto"/>
        <w:bottom w:val="none" w:sz="0" w:space="0" w:color="auto"/>
        <w:right w:val="none" w:sz="0" w:space="0" w:color="auto"/>
      </w:divBdr>
    </w:div>
    <w:div w:id="924807432">
      <w:marLeft w:val="0"/>
      <w:marRight w:val="0"/>
      <w:marTop w:val="0"/>
      <w:marBottom w:val="0"/>
      <w:divBdr>
        <w:top w:val="none" w:sz="0" w:space="0" w:color="auto"/>
        <w:left w:val="none" w:sz="0" w:space="0" w:color="auto"/>
        <w:bottom w:val="none" w:sz="0" w:space="0" w:color="auto"/>
        <w:right w:val="none" w:sz="0" w:space="0" w:color="auto"/>
      </w:divBdr>
    </w:div>
    <w:div w:id="924807433">
      <w:marLeft w:val="0"/>
      <w:marRight w:val="0"/>
      <w:marTop w:val="0"/>
      <w:marBottom w:val="0"/>
      <w:divBdr>
        <w:top w:val="none" w:sz="0" w:space="0" w:color="auto"/>
        <w:left w:val="none" w:sz="0" w:space="0" w:color="auto"/>
        <w:bottom w:val="none" w:sz="0" w:space="0" w:color="auto"/>
        <w:right w:val="none" w:sz="0" w:space="0" w:color="auto"/>
      </w:divBdr>
    </w:div>
    <w:div w:id="924807434">
      <w:marLeft w:val="0"/>
      <w:marRight w:val="0"/>
      <w:marTop w:val="0"/>
      <w:marBottom w:val="0"/>
      <w:divBdr>
        <w:top w:val="none" w:sz="0" w:space="0" w:color="auto"/>
        <w:left w:val="none" w:sz="0" w:space="0" w:color="auto"/>
        <w:bottom w:val="none" w:sz="0" w:space="0" w:color="auto"/>
        <w:right w:val="none" w:sz="0" w:space="0" w:color="auto"/>
      </w:divBdr>
    </w:div>
    <w:div w:id="1243442286">
      <w:bodyDiv w:val="1"/>
      <w:marLeft w:val="0"/>
      <w:marRight w:val="0"/>
      <w:marTop w:val="0"/>
      <w:marBottom w:val="0"/>
      <w:divBdr>
        <w:top w:val="none" w:sz="0" w:space="0" w:color="auto"/>
        <w:left w:val="none" w:sz="0" w:space="0" w:color="auto"/>
        <w:bottom w:val="none" w:sz="0" w:space="0" w:color="auto"/>
        <w:right w:val="none" w:sz="0" w:space="0" w:color="auto"/>
      </w:divBdr>
    </w:div>
    <w:div w:id="1346401968">
      <w:bodyDiv w:val="1"/>
      <w:marLeft w:val="0"/>
      <w:marRight w:val="0"/>
      <w:marTop w:val="0"/>
      <w:marBottom w:val="0"/>
      <w:divBdr>
        <w:top w:val="none" w:sz="0" w:space="0" w:color="auto"/>
        <w:left w:val="none" w:sz="0" w:space="0" w:color="auto"/>
        <w:bottom w:val="none" w:sz="0" w:space="0" w:color="auto"/>
        <w:right w:val="none" w:sz="0" w:space="0" w:color="auto"/>
      </w:divBdr>
    </w:div>
    <w:div w:id="1456868275">
      <w:bodyDiv w:val="1"/>
      <w:marLeft w:val="0"/>
      <w:marRight w:val="0"/>
      <w:marTop w:val="0"/>
      <w:marBottom w:val="0"/>
      <w:divBdr>
        <w:top w:val="none" w:sz="0" w:space="0" w:color="auto"/>
        <w:left w:val="none" w:sz="0" w:space="0" w:color="auto"/>
        <w:bottom w:val="none" w:sz="0" w:space="0" w:color="auto"/>
        <w:right w:val="none" w:sz="0" w:space="0" w:color="auto"/>
      </w:divBdr>
    </w:div>
    <w:div w:id="1557469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E598288-FBCD-4C8B-9478-56315396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5280</Words>
  <Characters>30098</Characters>
  <Application>Microsoft Office Word</Application>
  <DocSecurity>0</DocSecurity>
  <Lines>250</Lines>
  <Paragraphs>70</Paragraphs>
  <ScaleCrop>false</ScaleCrop>
  <Company/>
  <LinksUpToDate>false</LinksUpToDate>
  <CharactersWithSpaces>35308</CharactersWithSpaces>
  <SharedDoc>false</SharedDoc>
  <HLinks>
    <vt:vector size="204" baseType="variant">
      <vt:variant>
        <vt:i4>1245243</vt:i4>
      </vt:variant>
      <vt:variant>
        <vt:i4>200</vt:i4>
      </vt:variant>
      <vt:variant>
        <vt:i4>0</vt:i4>
      </vt:variant>
      <vt:variant>
        <vt:i4>5</vt:i4>
      </vt:variant>
      <vt:variant>
        <vt:lpwstr/>
      </vt:variant>
      <vt:variant>
        <vt:lpwstr>_Toc36844741</vt:lpwstr>
      </vt:variant>
      <vt:variant>
        <vt:i4>1179707</vt:i4>
      </vt:variant>
      <vt:variant>
        <vt:i4>194</vt:i4>
      </vt:variant>
      <vt:variant>
        <vt:i4>0</vt:i4>
      </vt:variant>
      <vt:variant>
        <vt:i4>5</vt:i4>
      </vt:variant>
      <vt:variant>
        <vt:lpwstr/>
      </vt:variant>
      <vt:variant>
        <vt:lpwstr>_Toc36844740</vt:lpwstr>
      </vt:variant>
      <vt:variant>
        <vt:i4>1769532</vt:i4>
      </vt:variant>
      <vt:variant>
        <vt:i4>188</vt:i4>
      </vt:variant>
      <vt:variant>
        <vt:i4>0</vt:i4>
      </vt:variant>
      <vt:variant>
        <vt:i4>5</vt:i4>
      </vt:variant>
      <vt:variant>
        <vt:lpwstr/>
      </vt:variant>
      <vt:variant>
        <vt:lpwstr>_Toc36844739</vt:lpwstr>
      </vt:variant>
      <vt:variant>
        <vt:i4>1703996</vt:i4>
      </vt:variant>
      <vt:variant>
        <vt:i4>182</vt:i4>
      </vt:variant>
      <vt:variant>
        <vt:i4>0</vt:i4>
      </vt:variant>
      <vt:variant>
        <vt:i4>5</vt:i4>
      </vt:variant>
      <vt:variant>
        <vt:lpwstr/>
      </vt:variant>
      <vt:variant>
        <vt:lpwstr>_Toc36844738</vt:lpwstr>
      </vt:variant>
      <vt:variant>
        <vt:i4>1376316</vt:i4>
      </vt:variant>
      <vt:variant>
        <vt:i4>176</vt:i4>
      </vt:variant>
      <vt:variant>
        <vt:i4>0</vt:i4>
      </vt:variant>
      <vt:variant>
        <vt:i4>5</vt:i4>
      </vt:variant>
      <vt:variant>
        <vt:lpwstr/>
      </vt:variant>
      <vt:variant>
        <vt:lpwstr>_Toc36844737</vt:lpwstr>
      </vt:variant>
      <vt:variant>
        <vt:i4>1310780</vt:i4>
      </vt:variant>
      <vt:variant>
        <vt:i4>170</vt:i4>
      </vt:variant>
      <vt:variant>
        <vt:i4>0</vt:i4>
      </vt:variant>
      <vt:variant>
        <vt:i4>5</vt:i4>
      </vt:variant>
      <vt:variant>
        <vt:lpwstr/>
      </vt:variant>
      <vt:variant>
        <vt:lpwstr>_Toc36844736</vt:lpwstr>
      </vt:variant>
      <vt:variant>
        <vt:i4>1507388</vt:i4>
      </vt:variant>
      <vt:variant>
        <vt:i4>164</vt:i4>
      </vt:variant>
      <vt:variant>
        <vt:i4>0</vt:i4>
      </vt:variant>
      <vt:variant>
        <vt:i4>5</vt:i4>
      </vt:variant>
      <vt:variant>
        <vt:lpwstr/>
      </vt:variant>
      <vt:variant>
        <vt:lpwstr>_Toc36844735</vt:lpwstr>
      </vt:variant>
      <vt:variant>
        <vt:i4>1441852</vt:i4>
      </vt:variant>
      <vt:variant>
        <vt:i4>158</vt:i4>
      </vt:variant>
      <vt:variant>
        <vt:i4>0</vt:i4>
      </vt:variant>
      <vt:variant>
        <vt:i4>5</vt:i4>
      </vt:variant>
      <vt:variant>
        <vt:lpwstr/>
      </vt:variant>
      <vt:variant>
        <vt:lpwstr>_Toc36844734</vt:lpwstr>
      </vt:variant>
      <vt:variant>
        <vt:i4>1114172</vt:i4>
      </vt:variant>
      <vt:variant>
        <vt:i4>152</vt:i4>
      </vt:variant>
      <vt:variant>
        <vt:i4>0</vt:i4>
      </vt:variant>
      <vt:variant>
        <vt:i4>5</vt:i4>
      </vt:variant>
      <vt:variant>
        <vt:lpwstr/>
      </vt:variant>
      <vt:variant>
        <vt:lpwstr>_Toc36844733</vt:lpwstr>
      </vt:variant>
      <vt:variant>
        <vt:i4>1048636</vt:i4>
      </vt:variant>
      <vt:variant>
        <vt:i4>146</vt:i4>
      </vt:variant>
      <vt:variant>
        <vt:i4>0</vt:i4>
      </vt:variant>
      <vt:variant>
        <vt:i4>5</vt:i4>
      </vt:variant>
      <vt:variant>
        <vt:lpwstr/>
      </vt:variant>
      <vt:variant>
        <vt:lpwstr>_Toc36844732</vt:lpwstr>
      </vt:variant>
      <vt:variant>
        <vt:i4>1245244</vt:i4>
      </vt:variant>
      <vt:variant>
        <vt:i4>140</vt:i4>
      </vt:variant>
      <vt:variant>
        <vt:i4>0</vt:i4>
      </vt:variant>
      <vt:variant>
        <vt:i4>5</vt:i4>
      </vt:variant>
      <vt:variant>
        <vt:lpwstr/>
      </vt:variant>
      <vt:variant>
        <vt:lpwstr>_Toc36844731</vt:lpwstr>
      </vt:variant>
      <vt:variant>
        <vt:i4>1179708</vt:i4>
      </vt:variant>
      <vt:variant>
        <vt:i4>134</vt:i4>
      </vt:variant>
      <vt:variant>
        <vt:i4>0</vt:i4>
      </vt:variant>
      <vt:variant>
        <vt:i4>5</vt:i4>
      </vt:variant>
      <vt:variant>
        <vt:lpwstr/>
      </vt:variant>
      <vt:variant>
        <vt:lpwstr>_Toc36844730</vt:lpwstr>
      </vt:variant>
      <vt:variant>
        <vt:i4>1769533</vt:i4>
      </vt:variant>
      <vt:variant>
        <vt:i4>128</vt:i4>
      </vt:variant>
      <vt:variant>
        <vt:i4>0</vt:i4>
      </vt:variant>
      <vt:variant>
        <vt:i4>5</vt:i4>
      </vt:variant>
      <vt:variant>
        <vt:lpwstr/>
      </vt:variant>
      <vt:variant>
        <vt:lpwstr>_Toc36844729</vt:lpwstr>
      </vt:variant>
      <vt:variant>
        <vt:i4>1703997</vt:i4>
      </vt:variant>
      <vt:variant>
        <vt:i4>122</vt:i4>
      </vt:variant>
      <vt:variant>
        <vt:i4>0</vt:i4>
      </vt:variant>
      <vt:variant>
        <vt:i4>5</vt:i4>
      </vt:variant>
      <vt:variant>
        <vt:lpwstr/>
      </vt:variant>
      <vt:variant>
        <vt:lpwstr>_Toc36844728</vt:lpwstr>
      </vt:variant>
      <vt:variant>
        <vt:i4>1376317</vt:i4>
      </vt:variant>
      <vt:variant>
        <vt:i4>116</vt:i4>
      </vt:variant>
      <vt:variant>
        <vt:i4>0</vt:i4>
      </vt:variant>
      <vt:variant>
        <vt:i4>5</vt:i4>
      </vt:variant>
      <vt:variant>
        <vt:lpwstr/>
      </vt:variant>
      <vt:variant>
        <vt:lpwstr>_Toc36844727</vt:lpwstr>
      </vt:variant>
      <vt:variant>
        <vt:i4>1310781</vt:i4>
      </vt:variant>
      <vt:variant>
        <vt:i4>110</vt:i4>
      </vt:variant>
      <vt:variant>
        <vt:i4>0</vt:i4>
      </vt:variant>
      <vt:variant>
        <vt:i4>5</vt:i4>
      </vt:variant>
      <vt:variant>
        <vt:lpwstr/>
      </vt:variant>
      <vt:variant>
        <vt:lpwstr>_Toc36844726</vt:lpwstr>
      </vt:variant>
      <vt:variant>
        <vt:i4>1507389</vt:i4>
      </vt:variant>
      <vt:variant>
        <vt:i4>104</vt:i4>
      </vt:variant>
      <vt:variant>
        <vt:i4>0</vt:i4>
      </vt:variant>
      <vt:variant>
        <vt:i4>5</vt:i4>
      </vt:variant>
      <vt:variant>
        <vt:lpwstr/>
      </vt:variant>
      <vt:variant>
        <vt:lpwstr>_Toc36844725</vt:lpwstr>
      </vt:variant>
      <vt:variant>
        <vt:i4>1441853</vt:i4>
      </vt:variant>
      <vt:variant>
        <vt:i4>98</vt:i4>
      </vt:variant>
      <vt:variant>
        <vt:i4>0</vt:i4>
      </vt:variant>
      <vt:variant>
        <vt:i4>5</vt:i4>
      </vt:variant>
      <vt:variant>
        <vt:lpwstr/>
      </vt:variant>
      <vt:variant>
        <vt:lpwstr>_Toc36844724</vt:lpwstr>
      </vt:variant>
      <vt:variant>
        <vt:i4>1114173</vt:i4>
      </vt:variant>
      <vt:variant>
        <vt:i4>92</vt:i4>
      </vt:variant>
      <vt:variant>
        <vt:i4>0</vt:i4>
      </vt:variant>
      <vt:variant>
        <vt:i4>5</vt:i4>
      </vt:variant>
      <vt:variant>
        <vt:lpwstr/>
      </vt:variant>
      <vt:variant>
        <vt:lpwstr>_Toc36844723</vt:lpwstr>
      </vt:variant>
      <vt:variant>
        <vt:i4>1048637</vt:i4>
      </vt:variant>
      <vt:variant>
        <vt:i4>86</vt:i4>
      </vt:variant>
      <vt:variant>
        <vt:i4>0</vt:i4>
      </vt:variant>
      <vt:variant>
        <vt:i4>5</vt:i4>
      </vt:variant>
      <vt:variant>
        <vt:lpwstr/>
      </vt:variant>
      <vt:variant>
        <vt:lpwstr>_Toc36844722</vt:lpwstr>
      </vt:variant>
      <vt:variant>
        <vt:i4>1245245</vt:i4>
      </vt:variant>
      <vt:variant>
        <vt:i4>80</vt:i4>
      </vt:variant>
      <vt:variant>
        <vt:i4>0</vt:i4>
      </vt:variant>
      <vt:variant>
        <vt:i4>5</vt:i4>
      </vt:variant>
      <vt:variant>
        <vt:lpwstr/>
      </vt:variant>
      <vt:variant>
        <vt:lpwstr>_Toc36844721</vt:lpwstr>
      </vt:variant>
      <vt:variant>
        <vt:i4>1179709</vt:i4>
      </vt:variant>
      <vt:variant>
        <vt:i4>74</vt:i4>
      </vt:variant>
      <vt:variant>
        <vt:i4>0</vt:i4>
      </vt:variant>
      <vt:variant>
        <vt:i4>5</vt:i4>
      </vt:variant>
      <vt:variant>
        <vt:lpwstr/>
      </vt:variant>
      <vt:variant>
        <vt:lpwstr>_Toc36844720</vt:lpwstr>
      </vt:variant>
      <vt:variant>
        <vt:i4>1769534</vt:i4>
      </vt:variant>
      <vt:variant>
        <vt:i4>68</vt:i4>
      </vt:variant>
      <vt:variant>
        <vt:i4>0</vt:i4>
      </vt:variant>
      <vt:variant>
        <vt:i4>5</vt:i4>
      </vt:variant>
      <vt:variant>
        <vt:lpwstr/>
      </vt:variant>
      <vt:variant>
        <vt:lpwstr>_Toc36844719</vt:lpwstr>
      </vt:variant>
      <vt:variant>
        <vt:i4>1703998</vt:i4>
      </vt:variant>
      <vt:variant>
        <vt:i4>62</vt:i4>
      </vt:variant>
      <vt:variant>
        <vt:i4>0</vt:i4>
      </vt:variant>
      <vt:variant>
        <vt:i4>5</vt:i4>
      </vt:variant>
      <vt:variant>
        <vt:lpwstr/>
      </vt:variant>
      <vt:variant>
        <vt:lpwstr>_Toc36844718</vt:lpwstr>
      </vt:variant>
      <vt:variant>
        <vt:i4>1376318</vt:i4>
      </vt:variant>
      <vt:variant>
        <vt:i4>56</vt:i4>
      </vt:variant>
      <vt:variant>
        <vt:i4>0</vt:i4>
      </vt:variant>
      <vt:variant>
        <vt:i4>5</vt:i4>
      </vt:variant>
      <vt:variant>
        <vt:lpwstr/>
      </vt:variant>
      <vt:variant>
        <vt:lpwstr>_Toc36844717</vt:lpwstr>
      </vt:variant>
      <vt:variant>
        <vt:i4>1310782</vt:i4>
      </vt:variant>
      <vt:variant>
        <vt:i4>50</vt:i4>
      </vt:variant>
      <vt:variant>
        <vt:i4>0</vt:i4>
      </vt:variant>
      <vt:variant>
        <vt:i4>5</vt:i4>
      </vt:variant>
      <vt:variant>
        <vt:lpwstr/>
      </vt:variant>
      <vt:variant>
        <vt:lpwstr>_Toc36844716</vt:lpwstr>
      </vt:variant>
      <vt:variant>
        <vt:i4>1507390</vt:i4>
      </vt:variant>
      <vt:variant>
        <vt:i4>44</vt:i4>
      </vt:variant>
      <vt:variant>
        <vt:i4>0</vt:i4>
      </vt:variant>
      <vt:variant>
        <vt:i4>5</vt:i4>
      </vt:variant>
      <vt:variant>
        <vt:lpwstr/>
      </vt:variant>
      <vt:variant>
        <vt:lpwstr>_Toc36844715</vt:lpwstr>
      </vt:variant>
      <vt:variant>
        <vt:i4>1441854</vt:i4>
      </vt:variant>
      <vt:variant>
        <vt:i4>38</vt:i4>
      </vt:variant>
      <vt:variant>
        <vt:i4>0</vt:i4>
      </vt:variant>
      <vt:variant>
        <vt:i4>5</vt:i4>
      </vt:variant>
      <vt:variant>
        <vt:lpwstr/>
      </vt:variant>
      <vt:variant>
        <vt:lpwstr>_Toc36844714</vt:lpwstr>
      </vt:variant>
      <vt:variant>
        <vt:i4>1114174</vt:i4>
      </vt:variant>
      <vt:variant>
        <vt:i4>32</vt:i4>
      </vt:variant>
      <vt:variant>
        <vt:i4>0</vt:i4>
      </vt:variant>
      <vt:variant>
        <vt:i4>5</vt:i4>
      </vt:variant>
      <vt:variant>
        <vt:lpwstr/>
      </vt:variant>
      <vt:variant>
        <vt:lpwstr>_Toc36844713</vt:lpwstr>
      </vt:variant>
      <vt:variant>
        <vt:i4>1048638</vt:i4>
      </vt:variant>
      <vt:variant>
        <vt:i4>26</vt:i4>
      </vt:variant>
      <vt:variant>
        <vt:i4>0</vt:i4>
      </vt:variant>
      <vt:variant>
        <vt:i4>5</vt:i4>
      </vt:variant>
      <vt:variant>
        <vt:lpwstr/>
      </vt:variant>
      <vt:variant>
        <vt:lpwstr>_Toc36844712</vt:lpwstr>
      </vt:variant>
      <vt:variant>
        <vt:i4>1245246</vt:i4>
      </vt:variant>
      <vt:variant>
        <vt:i4>20</vt:i4>
      </vt:variant>
      <vt:variant>
        <vt:i4>0</vt:i4>
      </vt:variant>
      <vt:variant>
        <vt:i4>5</vt:i4>
      </vt:variant>
      <vt:variant>
        <vt:lpwstr/>
      </vt:variant>
      <vt:variant>
        <vt:lpwstr>_Toc36844711</vt:lpwstr>
      </vt:variant>
      <vt:variant>
        <vt:i4>1179710</vt:i4>
      </vt:variant>
      <vt:variant>
        <vt:i4>14</vt:i4>
      </vt:variant>
      <vt:variant>
        <vt:i4>0</vt:i4>
      </vt:variant>
      <vt:variant>
        <vt:i4>5</vt:i4>
      </vt:variant>
      <vt:variant>
        <vt:lpwstr/>
      </vt:variant>
      <vt:variant>
        <vt:lpwstr>_Toc36844710</vt:lpwstr>
      </vt:variant>
      <vt:variant>
        <vt:i4>1769535</vt:i4>
      </vt:variant>
      <vt:variant>
        <vt:i4>8</vt:i4>
      </vt:variant>
      <vt:variant>
        <vt:i4>0</vt:i4>
      </vt:variant>
      <vt:variant>
        <vt:i4>5</vt:i4>
      </vt:variant>
      <vt:variant>
        <vt:lpwstr/>
      </vt:variant>
      <vt:variant>
        <vt:lpwstr>_Toc36844709</vt:lpwstr>
      </vt:variant>
      <vt:variant>
        <vt:i4>1703999</vt:i4>
      </vt:variant>
      <vt:variant>
        <vt:i4>2</vt:i4>
      </vt:variant>
      <vt:variant>
        <vt:i4>0</vt:i4>
      </vt:variant>
      <vt:variant>
        <vt:i4>5</vt:i4>
      </vt:variant>
      <vt:variant>
        <vt:lpwstr/>
      </vt:variant>
      <vt:variant>
        <vt:lpwstr>_Toc36844708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754582397@qq.com</dc:creator>
  <cp:keywords/>
  <dc:description/>
  <cp:lastModifiedBy>5733 5733</cp:lastModifiedBy>
  <cp:revision>14</cp:revision>
  <cp:lastPrinted>2020-05-26T02:38:00Z</cp:lastPrinted>
  <dcterms:created xsi:type="dcterms:W3CDTF">2020-05-26T02:38:00Z</dcterms:created>
  <dcterms:modified xsi:type="dcterms:W3CDTF">2021-03-19T02:44:00Z</dcterms:modified>
</cp:coreProperties>
</file>